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0"/>
      </w:pPr>
    </w:p>
    <w:p>
      <w:pPr>
        <w:spacing w:after="300"/>
        <w:jc w:val="center"/>
      </w:pPr>
      <w:r>
        <w:rPr>
          <w:b/>
          <w:bCs/>
          <w:color w:val="013441"/>
          <w:sz w:val="56"/>
          <w:szCs w:val="56"/>
        </w:rPr>
        <w:t xml:space="preserve">Atelier de cadrage — Phase 0</w:t>
      </w:r>
    </w:p>
    <w:p>
      <w:pPr>
        <w:spacing w:after="200"/>
        <w:jc w:val="center"/>
      </w:pPr>
      <w:r>
        <w:rPr>
          <w:color w:val="E9559E"/>
          <w:sz w:val="36"/>
          <w:szCs w:val="36"/>
        </w:rPr>
        <w:t xml:space="preserve">Évolution LMS EFEKTIVACADEMIE</w:t>
      </w:r>
    </w:p>
    <w:p>
      <w:pPr>
        <w:spacing w:after="1200"/>
        <w:jc w:val="center"/>
      </w:pPr>
      <w:r>
        <w:rPr>
          <w:color w:val="666666"/>
          <w:sz w:val="24"/>
          <w:szCs w:val="24"/>
        </w:rPr>
        <w:t xml:space="preserve">Support de décision — 20 fiches en 4 sessions</w:t>
      </w:r>
    </w:p>
    <w:p>
      <w:pPr>
        <w:jc w:val="center"/>
      </w:pPr>
      <w:r>
        <w:rPr>
          <w:color w:val="666666"/>
          <w:sz w:val="20"/>
          <w:szCs w:val="20"/>
        </w:rPr>
        <w:t xml:space="preserve">Août 2026 — d'après Features UX.docx, l'audit pilotage du 04-05/08 et l'exploration des codebases</w:t>
      </w:r>
    </w:p>
    <w:p>
      <w:pPr>
        <w:spacing w:before="200"/>
        <w:jc w:val="center"/>
      </w:pPr>
      <w:r>
        <w:rPr>
          <w:color w:val="999999"/>
          <w:sz w:val="18"/>
          <w:szCs w:val="18"/>
        </w:rPr>
        <w:t xml:space="preserve">Références : 01_ANALYSE_FEATURES_UX.md (zones d'ombre Zx, conflits Cx) · 03_BACKLOG_ISSUES.md (issues EA-xxx)</w:t>
      </w:r>
    </w:p>
    <w:p>
      <w:r>
        <w:br w:type="page"/>
      </w:r>
    </w:p>
    <w:p>
      <w:pPr>
        <w:spacing w:after="200"/>
      </w:pPr>
      <w:r>
        <w:rPr>
          <w:b/>
          <w:bCs/>
          <w:color w:val="013441"/>
          <w:sz w:val="30"/>
          <w:szCs w:val="30"/>
        </w:rPr>
        <w:t xml:space="preserve">Sommaire</w:t>
      </w:r>
    </w:p>
    <w:sdt>
      <w:sdtPr>
        <w:alias w:val="Sommaire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pPr>
        <w:pStyle w:val="Heading1"/>
        <w:pageBreakBefore/>
        <w:spacing w:after="200" w:before="240"/>
      </w:pPr>
      <w:r>
        <w:t xml:space="preserve">Mode d'emploi et organisation</w:t>
      </w:r>
    </w:p>
    <w:p>
      <w:pPr>
        <w:spacing w:after="120"/>
      </w:pPr>
      <w:r>
        <w:t xml:space="preserve">Chaque fiche présente : le </w:t>
      </w:r>
      <w:r>
        <w:rPr>
          <w:b/>
          <w:bCs/>
        </w:rPr>
        <w:t xml:space="preserve">constat</w:t>
      </w:r>
      <w:r>
        <w:t xml:space="preserve"> (factuel, issu du code), les </w:t>
      </w:r>
      <w:r>
        <w:rPr>
          <w:b/>
          <w:bCs/>
        </w:rPr>
        <w:t xml:space="preserve">options</w:t>
      </w:r>
      <w:r>
        <w:t xml:space="preserve"> avec leurs conséquences, une </w:t>
      </w:r>
      <w:r>
        <w:rPr>
          <w:b/>
          <w:bCs/>
        </w:rPr>
        <w:t xml:space="preserve">recommandation</w:t>
      </w:r>
      <w:r>
        <w:t xml:space="preserve"> argumentée, les issues du backlog impactées, et un encadré </w:t>
      </w:r>
      <w:r>
        <w:rPr>
          <w:b/>
          <w:bCs/>
        </w:rPr>
        <w:t xml:space="preserve">Décision</w:t>
      </w:r>
      <w:r>
        <w:t xml:space="preserve"> à remplir en séance.</w:t>
      </w:r>
    </w:p>
    <w:p>
      <w:pPr>
        <w:spacing w:after="120"/>
      </w:pPr>
      <w:r>
        <w:t xml:space="preserve">Règle anti-blocage : les recommandations valent </w:t>
      </w:r>
      <w:r>
        <w:rPr>
          <w:b/>
          <w:bCs/>
        </w:rPr>
        <w:t xml:space="preserve">décision par défaut</w:t>
      </w:r>
      <w:r>
        <w:t xml:space="preserve"> si le point n'est pas tranché en atelier — le démarrage des sprints n'attend jamais une décision en souffrance (récapitulatif des défauts en fin de document).</w:t>
      </w:r>
    </w:p>
    <w:p>
      <w:pPr>
        <w:spacing w:after="12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00"/>
        <w:gridCol w:w="1100"/>
        <w:gridCol w:w="3300"/>
        <w:gridCol w:w="1200"/>
        <w:gridCol w:w="2300"/>
      </w:tblGrid>
      <w:tr>
        <w:trPr>
          <w:tblHeader/>
        </w:trPr>
        <w:tc>
          <w:tcPr>
            <w:tcW w:type="dxa" w:w="1100"/>
            <w:shd w:fill="01344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</w:rPr>
              <w:t xml:space="preserve">Session</w:t>
            </w:r>
          </w:p>
        </w:tc>
        <w:tc>
          <w:tcPr>
            <w:tcW w:type="dxa" w:w="1100"/>
            <w:shd w:fill="01344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</w:rPr>
              <w:t xml:space="preserve">Durée</w:t>
            </w:r>
          </w:p>
        </w:tc>
        <w:tc>
          <w:tcPr>
            <w:tcW w:type="dxa" w:w="3300"/>
            <w:shd w:fill="01344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</w:rPr>
              <w:t xml:space="preserve">Thème</w:t>
            </w:r>
          </w:p>
        </w:tc>
        <w:tc>
          <w:tcPr>
            <w:tcW w:type="dxa" w:w="1200"/>
            <w:shd w:fill="01344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</w:rPr>
              <w:t xml:space="preserve">Fiches</w:t>
            </w:r>
          </w:p>
        </w:tc>
        <w:tc>
          <w:tcPr>
            <w:tcW w:type="dxa" w:w="2300"/>
            <w:shd w:fill="01344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</w:rPr>
              <w:t xml:space="preserve">Participants</w:t>
            </w:r>
          </w:p>
        </w:tc>
      </w:tr>
      <w:tr>
        <w:tc>
          <w:tcPr>
            <w:tcW w:type="dxa" w:w="11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S-A</w:t>
            </w:r>
          </w:p>
        </w:tc>
        <w:tc>
          <w:tcPr>
            <w:tcW w:type="dxa" w:w="11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1 h 30</w:t>
            </w:r>
          </w:p>
        </w:tc>
        <w:tc>
          <w:tcPr>
            <w:tcW w:type="dxa" w:w="3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Modèle de contenu &amp; expérience apprenant</w:t>
            </w:r>
          </w:p>
        </w:tc>
        <w:tc>
          <w:tcPr>
            <w:tcW w:type="dxa" w:w="1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F1 → F6</w:t>
            </w:r>
          </w:p>
        </w:tc>
        <w:tc>
          <w:tcPr>
            <w:tcW w:type="dxa" w:w="2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Produit + dev back + dev front</w:t>
            </w:r>
          </w:p>
        </w:tc>
      </w:tr>
      <w:tr>
        <w:tc>
          <w:tcPr>
            <w:tcW w:type="dxa" w:w="11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S-B</w:t>
            </w:r>
          </w:p>
        </w:tc>
        <w:tc>
          <w:tcPr>
            <w:tcW w:type="dxa" w:w="11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1 h 30</w:t>
            </w:r>
          </w:p>
        </w:tc>
        <w:tc>
          <w:tcPr>
            <w:tcW w:type="dxa" w:w="3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Rôles, organisation, RGPD</w:t>
            </w:r>
          </w:p>
        </w:tc>
        <w:tc>
          <w:tcPr>
            <w:tcW w:type="dxa" w:w="1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F7 → F11</w:t>
            </w:r>
          </w:p>
        </w:tc>
        <w:tc>
          <w:tcPr>
            <w:tcW w:type="dxa" w:w="2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Produit + RH/métier + dev back</w:t>
            </w:r>
          </w:p>
        </w:tc>
      </w:tr>
      <w:tr>
        <w:tc>
          <w:tcPr>
            <w:tcW w:type="dxa" w:w="11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S-C</w:t>
            </w:r>
          </w:p>
        </w:tc>
        <w:tc>
          <w:tcPr>
            <w:tcW w:type="dxa" w:w="11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1 h</w:t>
            </w:r>
          </w:p>
        </w:tc>
        <w:tc>
          <w:tcPr>
            <w:tcW w:type="dxa" w:w="3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Périmètres fonctionnels</w:t>
            </w:r>
          </w:p>
        </w:tc>
        <w:tc>
          <w:tcPr>
            <w:tcW w:type="dxa" w:w="1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F12 → F18</w:t>
            </w:r>
          </w:p>
        </w:tc>
        <w:tc>
          <w:tcPr>
            <w:tcW w:type="dxa" w:w="2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Produit + dev</w:t>
            </w:r>
          </w:p>
        </w:tc>
      </w:tr>
      <w:tr>
        <w:tc>
          <w:tcPr>
            <w:tcW w:type="dxa" w:w="11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S-D</w:t>
            </w:r>
          </w:p>
        </w:tc>
        <w:tc>
          <w:tcPr>
            <w:tcW w:type="dxa" w:w="11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hors atelier</w:t>
            </w:r>
          </w:p>
        </w:tc>
        <w:tc>
          <w:tcPr>
            <w:tcW w:type="dxa" w:w="3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Audit technique (schéma prod, environnements)</w:t>
            </w:r>
          </w:p>
        </w:tc>
        <w:tc>
          <w:tcPr>
            <w:tcW w:type="dxa" w:w="1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F19, F20</w:t>
            </w:r>
          </w:p>
        </w:tc>
        <w:tc>
          <w:tcPr>
            <w:tcW w:type="dxa" w:w="2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Dev back seul, restitution 30 min</w:t>
            </w:r>
          </w:p>
        </w:tc>
      </w:tr>
    </w:tbl>
    <w:p>
      <w:pPr>
        <w:spacing w:after="120"/>
      </w:pPr>
    </w:p>
    <w:p>
      <w:pPr>
        <w:spacing w:after="120"/>
      </w:pPr>
      <w:r>
        <w:rPr>
          <w:b/>
          <w:bCs/>
        </w:rPr>
        <w:t xml:space="preserve">Ordre conseillé : </w:t>
      </w:r>
      <w:r>
        <w:t xml:space="preserve">S-A avant tout (F1 conditionne les sprints 3-4 et le studio), S-B avant le sprint 5, S-C peut se tenir en semaine 2. S-D démarre immédiatement (aucune décision produit requise).</w:t>
      </w:r>
    </w:p>
    <w:p>
      <w:pPr>
        <w:spacing w:after="120"/>
      </w:pPr>
      <w:r>
        <w:rPr>
          <w:b/>
          <w:bCs/>
        </w:rPr>
        <w:t xml:space="preserve">Matériel de séance : </w:t>
      </w:r>
      <w:r>
        <w:t xml:space="preserve">ce document + un accès à la plateforme de production pour arbitrer sur pièces.</w:t>
      </w:r>
    </w:p>
    <w:p>
      <w:pPr>
        <w:spacing w:after="120"/>
      </w:pPr>
      <w:r>
        <w:rPr>
          <w:b/>
          <w:bCs/>
        </w:rPr>
        <w:t xml:space="preserve">À avoir dans la salle : </w:t>
      </w:r>
      <w:r>
        <w:t xml:space="preserve">le demandeur du document Features UX pour les fiches F10 (menu « Rôle », réellement ambigu) et F7 (confirmer que le « Manager » du document correspond au rôle sub_manager du code).</w:t>
      </w:r>
    </w:p>
    <w:p>
      <w:pPr>
        <w:pStyle w:val="Heading1"/>
        <w:pageBreakBefore/>
        <w:spacing w:after="200" w:before="240"/>
      </w:pPr>
      <w:r>
        <w:t xml:space="preserve">Session A — Modèle de contenu &amp; expérience apprenant</w:t>
      </w:r>
    </w:p>
    <w:p>
      <w:pPr>
        <w:pStyle w:val="Heading2"/>
        <w:spacing w:after="140" w:before="280"/>
      </w:pPr>
      <w:r>
        <w:t xml:space="preserve">F1 · Modèle Formation &gt; Leçon &gt; Support — LA décision structurante (Z1, C9)</w:t>
      </w:r>
    </w:p>
    <w:p>
      <w:pPr>
        <w:spacing w:after="120"/>
      </w:pPr>
      <w:r>
        <w:rPr>
          <w:b/>
          <w:bCs/>
        </w:rPr>
        <w:t xml:space="preserve">Question : </w:t>
      </w:r>
      <w:r>
        <w:t xml:space="preserve">comment faire coïncider le vocabulaire cible du doc Features UX (une leçon contient plusieurs supports typés : vidéo, podcast, réel, article, fiche…) avec le modèle actuel (un cours contient des sections ; une section contient des leçons — 1 média chacune, type deviné par l'extension — et des quiz) ?</w:t>
      </w:r>
    </w:p>
    <w:p>
      <w:pPr>
        <w:spacing w:after="120"/>
      </w:pPr>
      <w:r>
        <w:rPr>
          <w:b/>
          <w:bCs/>
        </w:rPr>
        <w:t xml:space="preserve">Constat code : </w:t>
      </w:r>
      <w:r>
        <w:t xml:space="preserve">tables sections &gt; lessons (1 média : video_url / file_url / URL externe) + quizzes. Aucun champ de type explicite ; le front devine video|audio|pdf|image|text par extension (getFileType(), StudentCourseDetail.jsx). « Durée de la leçon = somme des supports » n'a pas de sens dans ce modèle.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0"/>
        <w:gridCol w:w="3600"/>
        <w:gridCol w:w="3420"/>
      </w:tblGrid>
      <w:tr>
        <w:trPr>
          <w:tblHeader/>
        </w:trPr>
        <w:tc>
          <w:tcPr>
            <w:tcW w:type="dxa" w:w="1980"/>
            <w:shd w:fill="01344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</w:rPr>
              <w:t xml:space="preserve">Option</w:t>
            </w:r>
          </w:p>
        </w:tc>
        <w:tc>
          <w:tcPr>
            <w:tcW w:type="dxa" w:w="3600"/>
            <w:shd w:fill="01344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</w:rPr>
              <w:t xml:space="preserve">Description</w:t>
            </w:r>
          </w:p>
        </w:tc>
        <w:tc>
          <w:tcPr>
            <w:tcW w:type="dxa" w:w="3420"/>
            <w:shd w:fill="01344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</w:rPr>
              <w:t xml:space="preserve">Conséquences</w:t>
            </w:r>
          </w:p>
        </w:tc>
      </w:tr>
      <w:tr>
        <w:tc>
          <w:tcPr>
            <w:tcW w:type="dxa" w:w="19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/>
            </w:pPr>
            <w:r>
              <w:rPr>
                <w:b/>
                <w:bCs/>
              </w:rPr>
              <w:t xml:space="preserve">A. Renommage + typage  </w:t>
            </w:r>
            <w:r>
              <w:rPr>
                <w:color w:val="E9559E"/>
              </w:rPr>
              <w:t xml:space="preserve">(recommandée)</w:t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Les tables restent (sections, lessons) ; ajout de lessons.support_type explicite ; le vocabulaire exposé (API/UI) devient : section = Leçon, lesson = Support.</w:t>
            </w:r>
          </w:p>
        </w:tc>
        <w:tc>
          <w:tcPr>
            <w:tcW w:type="dxa" w:w="34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Migration légère, rétrocompatible ; script de rétro-typage depuis extensions/URLs. Aucune reprise de données lourde.</w:t>
            </w:r>
          </w:p>
        </w:tc>
      </w:tr>
      <w:tr>
        <w:tc>
          <w:tcPr>
            <w:tcW w:type="dxa" w:w="19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B. Refonte des tables</w:t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Nouvelles tables leçons/supports, migration des données.</w:t>
            </w:r>
          </w:p>
        </w:tc>
        <w:tc>
          <w:tcPr>
            <w:tcW w:type="dxa" w:w="34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2-3 semaines de migration + risque sur les données de prod, pour un gain fonctionnel nul.</w:t>
            </w:r>
          </w:p>
        </w:tc>
      </w:tr>
      <w:tr>
        <w:tc>
          <w:tcPr>
            <w:tcW w:type="dxa" w:w="19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C. Statu quo vocabulaire</w:t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Garder « section/leçon » tel quel, ajouter seulement le type.</w:t>
            </w:r>
          </w:p>
        </w:tc>
        <w:tc>
          <w:tcPr>
            <w:tcW w:type="dxa" w:w="34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Le doc Features UX (durées, badges « par leçon », lignes de supports) reste ambigu pour toujours ; dette de vocabulaire.</w:t>
            </w:r>
          </w:p>
        </w:tc>
      </w:tr>
    </w:tbl>
    <w:p>
      <w:pPr>
        <w:spacing w:after="120"/>
      </w:pPr>
    </w:p>
    <w:p>
      <w:pPr>
        <w:spacing w:after="120"/>
      </w:pPr>
      <w:r>
        <w:rPr>
          <w:b/>
          <w:bCs/>
        </w:rPr>
        <w:t xml:space="preserve">Recommandation : </w:t>
      </w:r>
      <w:r>
        <w:t xml:space="preserve">option </w:t>
      </w:r>
      <w:r>
        <w:rPr>
          <w:b/>
          <w:bCs/>
        </w:rPr>
        <w:t xml:space="preserve">A</w:t>
      </w:r>
      <w:r>
        <w:t xml:space="preserve">. Le typage explicite est le vrai besoin ; le renommage est cosmétique côté API/UI. Liste des types à valider en séance : video, podcast, reel, article, fiche (+ quiz et, plus tard, mise_en_situation). Confirmer que le quiz est un support comme un autre dans la liste d'une leçon (déjà le cas via items[]).</w:t>
      </w:r>
    </w:p>
    <w:p>
      <w:pPr>
        <w:spacing w:after="100"/>
      </w:pPr>
      <w:r>
        <w:rPr>
          <w:i/>
          <w:iCs/>
        </w:rPr>
        <w:t xml:space="preserve">Issues impactées : </w:t>
      </w:r>
      <w:r>
        <w:rPr>
          <w:i/>
          <w:iCs/>
        </w:rPr>
        <w:t xml:space="preserve">EA-027 (directe) ; EA-028/030/031/036/063/079 (dépendantes).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single" w:color="E9559E" w:sz="6"/>
              <w:left w:val="single" w:color="E9559E" w:sz="6"/>
              <w:bottom w:val="single" w:color="E9559E" w:sz="6"/>
              <w:right w:val="single" w:color="E9559E" w:sz="6"/>
            </w:tcBorders>
            <w:shd w:fill="FDEF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</w:pPr>
            <w:r>
              <w:rPr>
                <w:b/>
                <w:bCs/>
                <w:color w:val="E9559E"/>
              </w:rPr>
              <w:t xml:space="preserve">DÉCISION   </w:t>
            </w:r>
            <w:r>
              <w:t xml:space="preserve">☐ A    ☐ B    ☐ C    —  Types retenus : ______________________  —  Le quiz est un support : ☐ oui  ☐ non</w:t>
            </w:r>
          </w:p>
        </w:tc>
      </w:tr>
    </w:tbl>
    <w:p>
      <w:pPr>
        <w:pStyle w:val="Heading2"/>
        <w:spacing w:after="140" w:before="280"/>
      </w:pPr>
      <w:r>
        <w:t xml:space="preserve">F2 · Source de vérité des durées (Z5)</w:t>
      </w:r>
    </w:p>
    <w:p>
      <w:pPr>
        <w:spacing w:after="120"/>
      </w:pPr>
      <w:r>
        <w:rPr>
          <w:b/>
          <w:bCs/>
        </w:rPr>
        <w:t xml:space="preserve">Question : </w:t>
      </w:r>
      <w:r>
        <w:t xml:space="preserve">d'où vient la durée affichée d'un support (et donc d'une leçon = somme, d'une formation = somme) ?</w:t>
      </w:r>
    </w:p>
    <w:p>
      <w:pPr>
        <w:spacing w:after="120"/>
      </w:pPr>
      <w:r>
        <w:rPr>
          <w:b/>
          <w:bCs/>
        </w:rPr>
        <w:t xml:space="preserve">Constat code : </w:t>
      </w:r>
      <w:r>
        <w:t xml:space="preserve">item.duration existe parfois ; sinon le front appelle l'oEmbed Vimeo à chaque affichage (&lt;VimeoDuration&gt;). Rien pour les fichiers uploadés, ni pour les articles/fiches.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3600"/>
        <w:gridCol w:w="3060"/>
      </w:tblGrid>
      <w:tr>
        <w:trPr>
          <w:tblHeader/>
        </w:trPr>
        <w:tc>
          <w:tcPr>
            <w:tcW w:type="dxa" w:w="2340"/>
            <w:shd w:fill="01344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</w:rPr>
              <w:t xml:space="preserve">Option</w:t>
            </w:r>
          </w:p>
        </w:tc>
        <w:tc>
          <w:tcPr>
            <w:tcW w:type="dxa" w:w="3600"/>
            <w:shd w:fill="01344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</w:rPr>
              <w:t xml:space="preserve">Description</w:t>
            </w:r>
          </w:p>
        </w:tc>
        <w:tc>
          <w:tcPr>
            <w:tcW w:type="dxa" w:w="3060"/>
            <w:shd w:fill="01344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</w:rPr>
              <w:t xml:space="preserve">Conséquences</w:t>
            </w:r>
          </w:p>
        </w:tc>
      </w:tr>
      <w:tr>
        <w:tc>
          <w:tcPr>
            <w:tcW w:type="dxa" w:w="23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/>
            </w:pPr>
            <w:r>
              <w:rPr>
                <w:b/>
                <w:bCs/>
              </w:rPr>
              <w:t xml:space="preserve">A. Extraction auto + override admin  </w:t>
            </w:r>
            <w:r>
              <w:rPr>
                <w:color w:val="E9559E"/>
              </w:rPr>
              <w:t xml:space="preserve">(recommandée)</w:t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À l'upload : durée extraite (ffprobe) ; pour les URLs : oEmbed une fois, côté serveur, stockée. L'admin peut corriger. Articles/fiches : durée saisie par l'admin (défaut proposé : estimation au nombre de mots, 200 mots/min).</w:t>
            </w:r>
          </w:p>
        </w:tc>
        <w:tc>
          <w:tcPr>
            <w:tcW w:type="dxa" w:w="30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Fiable, aucun appel réseau à l'affichage, couvre tous les types. Nécessite ffprobe sur le serveur.</w:t>
            </w:r>
          </w:p>
        </w:tc>
      </w:tr>
      <w:tr>
        <w:tc>
          <w:tcPr>
            <w:tcW w:type="dxa" w:w="23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B. Saisie admin systématique</w:t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L'admin renseigne toutes les durées.</w:t>
            </w:r>
          </w:p>
        </w:tc>
        <w:tc>
          <w:tcPr>
            <w:tcW w:type="dxa" w:w="30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Simple techniquement, mais pénible et vite faux (oublis, médias remplacés).</w:t>
            </w:r>
          </w:p>
        </w:tc>
      </w:tr>
    </w:tbl>
    <w:p>
      <w:pPr>
        <w:spacing w:after="120"/>
      </w:pPr>
    </w:p>
    <w:p>
      <w:pPr>
        <w:spacing w:after="120"/>
      </w:pPr>
      <w:r>
        <w:rPr>
          <w:b/>
          <w:bCs/>
        </w:rPr>
        <w:t xml:space="preserve">Recommandation : </w:t>
      </w:r>
      <w:r>
        <w:rPr>
          <w:b/>
          <w:bCs/>
        </w:rPr>
        <w:t xml:space="preserve">A</w:t>
      </w:r>
      <w:r>
        <w:t xml:space="preserve">. Trancher aussi : la durée affichée est-elle arrondie à la minute ? (proposé : oui).</w:t>
      </w:r>
    </w:p>
    <w:p>
      <w:pPr>
        <w:spacing w:after="100"/>
      </w:pPr>
      <w:r>
        <w:rPr>
          <w:i/>
          <w:iCs/>
        </w:rPr>
        <w:t xml:space="preserve">Issues impactées : </w:t>
      </w:r>
      <w:r>
        <w:rPr>
          <w:i/>
          <w:iCs/>
        </w:rPr>
        <w:t xml:space="preserve">EA-028, EA-030, EA-033, EA-060 (filtre par durée).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single" w:color="E9559E" w:sz="6"/>
              <w:left w:val="single" w:color="E9559E" w:sz="6"/>
              <w:bottom w:val="single" w:color="E9559E" w:sz="6"/>
              <w:right w:val="single" w:color="E9559E" w:sz="6"/>
            </w:tcBorders>
            <w:shd w:fill="FDEF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</w:pPr>
            <w:r>
              <w:rPr>
                <w:b/>
                <w:bCs/>
                <w:color w:val="E9559E"/>
              </w:rPr>
              <w:t xml:space="preserve">DÉCISION   </w:t>
            </w:r>
            <w:r>
              <w:t xml:space="preserve">☐ A    ☐ B    —  Règle articles/fiches : ______________  —  Arrondi : ☐ minute  ☐ seconde</w:t>
            </w:r>
          </w:p>
        </w:tc>
      </w:tr>
    </w:tbl>
    <w:p>
      <w:pPr>
        <w:pStyle w:val="Heading2"/>
        <w:spacing w:after="140" w:before="280"/>
      </w:pPr>
      <w:r>
        <w:t xml:space="preserve">F3 · Formule du % d'avancement (Z6)</w:t>
      </w:r>
    </w:p>
    <w:p>
      <w:pPr>
        <w:spacing w:after="120"/>
      </w:pPr>
      <w:r>
        <w:rPr>
          <w:b/>
          <w:bCs/>
        </w:rPr>
        <w:t xml:space="preserve">Question : </w:t>
      </w:r>
      <w:r>
        <w:t xml:space="preserve">comment se calcule le pourcentage d'avancement d'une formation pour un apprenant ?</w:t>
      </w:r>
    </w:p>
    <w:p>
      <w:pPr>
        <w:spacing w:after="120"/>
      </w:pPr>
      <w:r>
        <w:rPr>
          <w:b/>
          <w:bCs/>
        </w:rPr>
        <w:t xml:space="preserve">Constat code : </w:t>
      </w:r>
      <w:r>
        <w:t xml:space="preserve">aucun % n'existe. Trois états dérivés en agrégat dashboard uniquement (inscrit / ≥1 leçon complétée / cours complété). « Terminé » = 100 % strict des leçons ET quiz actifs.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3060"/>
        <w:gridCol w:w="3240"/>
      </w:tblGrid>
      <w:tr>
        <w:trPr>
          <w:tblHeader/>
        </w:trPr>
        <w:tc>
          <w:tcPr>
            <w:tcW w:type="dxa" w:w="2700"/>
            <w:shd w:fill="01344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</w:rPr>
              <w:t xml:space="preserve">Option</w:t>
            </w:r>
          </w:p>
        </w:tc>
        <w:tc>
          <w:tcPr>
            <w:tcW w:type="dxa" w:w="3060"/>
            <w:shd w:fill="01344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</w:rPr>
              <w:t xml:space="preserve">Formule</w:t>
            </w:r>
          </w:p>
        </w:tc>
        <w:tc>
          <w:tcPr>
            <w:tcW w:type="dxa" w:w="3240"/>
            <w:shd w:fill="01344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</w:rPr>
              <w:t xml:space="preserve">Conséquences</w:t>
            </w:r>
          </w:p>
        </w:tc>
      </w:tr>
      <w:tr>
        <w:tc>
          <w:tcPr>
            <w:tcW w:type="dxa" w:w="2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/>
            </w:pPr>
            <w:r>
              <w:rPr>
                <w:b/>
                <w:bCs/>
              </w:rPr>
              <w:t xml:space="preserve">A. Supports terminés / total  </w:t>
            </w:r>
            <w:r>
              <w:rPr>
                <w:color w:val="E9559E"/>
              </w:rPr>
              <w:t xml:space="preserve">(recommandée)</w:t>
            </w:r>
          </w:p>
        </w:tc>
        <w:tc>
          <w:tcPr>
            <w:tcW w:type="dxa" w:w="30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Nombre de supports complétés (quiz inclus) ÷ nombre total de supports actifs.</w:t>
            </w:r>
          </w:p>
        </w:tc>
        <w:tc>
          <w:tcPr>
            <w:tcW w:type="dxa" w:w="32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Lisible, explicable à l'apprenant (« 7/10 »), cohérent avec le statut Terminé existant.</w:t>
            </w:r>
          </w:p>
        </w:tc>
      </w:tr>
      <w:tr>
        <w:tc>
          <w:tcPr>
            <w:tcW w:type="dxa" w:w="2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B. Pondéré par durée</w:t>
            </w:r>
          </w:p>
        </w:tc>
        <w:tc>
          <w:tcPr>
            <w:tcW w:type="dxa" w:w="30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Somme des durées des supports terminés ÷ durée totale.</w:t>
            </w:r>
          </w:p>
        </w:tc>
        <w:tc>
          <w:tcPr>
            <w:tcW w:type="dxa" w:w="32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Plus « juste » mais opaque (finir un quiz de 2 min ne bouge presque pas la barre) ; dépend de la fiabilité des durées (F2).</w:t>
            </w:r>
          </w:p>
        </w:tc>
      </w:tr>
      <w:tr>
        <w:tc>
          <w:tcPr>
            <w:tcW w:type="dxa" w:w="2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C. Temps passé / durée totale</w:t>
            </w:r>
          </w:p>
        </w:tc>
        <w:tc>
          <w:tcPr>
            <w:tcW w:type="dxa" w:w="30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Basé sur le tracking.</w:t>
            </w:r>
          </w:p>
        </w:tc>
        <w:tc>
          <w:tcPr>
            <w:tcW w:type="dxa" w:w="32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Mesure l'exposition, pas l'accomplissement ; incompatible avec la complétion manuelle.</w:t>
            </w:r>
          </w:p>
        </w:tc>
      </w:tr>
    </w:tbl>
    <w:p>
      <w:pPr>
        <w:spacing w:after="120"/>
      </w:pPr>
    </w:p>
    <w:p>
      <w:pPr>
        <w:spacing w:after="120"/>
      </w:pPr>
      <w:r>
        <w:rPr>
          <w:b/>
          <w:bCs/>
        </w:rPr>
        <w:t xml:space="preserve">Recommandation : </w:t>
      </w:r>
      <w:r>
        <w:rPr>
          <w:b/>
          <w:bCs/>
        </w:rPr>
        <w:t xml:space="preserve">A</w:t>
      </w:r>
      <w:r>
        <w:t xml:space="preserve">, avec les règles annexes : Non débutée = 0 support complété ; En cours = ≥ 1 ; Terminée = statut de complétion existant (pas « % = 100 » recalculé, pour rester cohérent avec les certificats déjà émis).</w:t>
      </w:r>
    </w:p>
    <w:p>
      <w:pPr>
        <w:spacing w:after="100"/>
      </w:pPr>
      <w:r>
        <w:rPr>
          <w:i/>
          <w:iCs/>
        </w:rPr>
        <w:t xml:space="preserve">Issues impactées : </w:t>
      </w:r>
      <w:r>
        <w:rPr>
          <w:i/>
          <w:iCs/>
        </w:rPr>
        <w:t xml:space="preserve">EA-018 (directe) ; EA-033, EA-047, EA-049, EA-051.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single" w:color="E9559E" w:sz="6"/>
              <w:left w:val="single" w:color="E9559E" w:sz="6"/>
              <w:bottom w:val="single" w:color="E9559E" w:sz="6"/>
              <w:right w:val="single" w:color="E9559E" w:sz="6"/>
            </w:tcBorders>
            <w:shd w:fill="FDEF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</w:pPr>
            <w:r>
              <w:rPr>
                <w:b/>
                <w:bCs/>
                <w:color w:val="E9559E"/>
              </w:rPr>
              <w:t xml:space="preserve">DÉCISION   </w:t>
            </w:r>
            <w:r>
              <w:t xml:space="preserve">☐ A    ☐ B    ☐ C    —  Règles annexes validées : ☐</w:t>
            </w:r>
          </w:p>
        </w:tc>
      </w:tr>
    </w:tbl>
    <w:p>
      <w:pPr>
        <w:pStyle w:val="Heading2"/>
        <w:spacing w:after="140" w:before="280"/>
      </w:pPr>
      <w:r>
        <w:t xml:space="preserve">F4 · Deeplinks, minutage et URLs (Z7, Z18)</w:t>
      </w:r>
    </w:p>
    <w:p>
      <w:pPr>
        <w:spacing w:after="120"/>
      </w:pPr>
      <w:r>
        <w:rPr>
          <w:b/>
          <w:bCs/>
        </w:rPr>
        <w:t xml:space="preserve">Question : </w:t>
      </w:r>
      <w:r>
        <w:t xml:space="preserve">quel format de lien partageable vers un support, et quelle politique d'URLs ?</w:t>
      </w:r>
    </w:p>
    <w:p>
      <w:pPr>
        <w:spacing w:after="120"/>
      </w:pPr>
      <w:r>
        <w:rPr>
          <w:b/>
          <w:bCs/>
        </w:rPr>
        <w:t xml:space="preserve">Constat code : </w:t>
      </w:r>
      <w:r>
        <w:t xml:space="preserve">(branche development, re-vérifié 05/08) les slugs existent (6 entités back, accents translittérés ; routes front /courses/:slug) MAIS aucune route API ne les résout — le front garde une table slug→id en localStorage : un lien partagé ne fonctionne pas dans un autre navigateur (bug réel, EA-038). Le token d'invitation transite par ?token= et survit au login (mécanisme réutilisable).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single" w:color="E9559E" w:sz="6"/>
              <w:left w:val="single" w:color="E9559E" w:sz="6"/>
              <w:bottom w:val="single" w:color="E9559E" w:sz="6"/>
              <w:right w:val="single" w:color="E9559E" w:sz="6"/>
            </w:tcBorders>
            <w:shd w:fill="FDEF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</w:pPr>
            <w:r>
              <w:rPr>
                <w:b/>
                <w:bCs/>
                <w:color w:val="E9559E"/>
              </w:rPr>
              <w:t xml:space="preserve">DÉCISION   </w:t>
            </w:r>
            <w:r>
              <w:rPr>
                <w:b/>
                <w:bCs/>
              </w:rPr>
              <w:t xml:space="preserve">PASSIF DES ANCIENNES URLS — DÉJÀ PRIS EN CHARGE, HORS ATELIER. </w:t>
            </w:r>
            <w:r>
              <w:t xml:space="preserve">La refonte du routage a renommé ou supprimé 56 chemins, sans redirection ni écran 404 : tout ancien lien (email d'invitation antérieur, favori, lien partagé) affiche aujourd'hui une page blanche. Traité par l'issue EFEKTIVACADEMIE-FRONT #18 (écran 404 de repli + redirections ancien → nouveau). Aucune décision d'atelier requise.</w:t>
            </w:r>
          </w:p>
        </w:tc>
      </w:tr>
    </w:tbl>
    <w:p>
      <w:pPr>
        <w:spacing w:after="120"/>
      </w:pPr>
    </w:p>
    <w:p>
      <w:pPr>
        <w:spacing w:after="120"/>
      </w:pPr>
      <w:r>
        <w:rPr>
          <w:b/>
          <w:bCs/>
        </w:rPr>
        <w:t xml:space="preserve">Proposition à valider 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Format : </w:t>
      </w:r>
      <w:r>
        <w:rPr>
          <w:b/>
          <w:bCs/>
        </w:rPr>
        <w:t xml:space="preserve">/courses/{slug}?support={supportId}&amp;t={secondes}</w:t>
      </w:r>
      <w:r>
        <w:t xml:space="preserve"> — le slug existe déjà côté back (accents translittérés) ; l'identifiant numérique reste accepté (aucune migration).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Le deeplink </w:t>
      </w:r>
      <w:r>
        <w:rPr>
          <w:b/>
          <w:bCs/>
        </w:rPr>
        <w:t xml:space="preserve">survit à l'authentification</w:t>
      </w:r>
      <w:r>
        <w:t xml:space="preserve"> (même mécanique que le token d'invitation).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Toute URL inconnue tombe sur un écran 404, jamais sur une page blanche (cf. encadré ci-dessus).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Le minutage t s'applique aux supports temporels (vidéo/podcast/réel) ; ignoré sinon.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Bouton « copier le lien » sur chaque ligne de support ; le lien avec minutage se copie depuis le player (« copier le lien à cet instant »).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Résolution du slug côté API</w:t>
      </w:r>
      <w:r>
        <w:t xml:space="preserve"> (EA-038) : aujourd'hui /courses/:slug ne se résout que via une table slug→id gardée en localStorage — un lien partagé ne fonctionne donc pas dans un autre navigateur. C'est le vrai sujet à trancher ici (le passif des anciennes URLs, lui, est couvert).</w:t>
      </w:r>
    </w:p>
    <w:p>
      <w:pPr>
        <w:spacing w:after="100"/>
      </w:pPr>
      <w:r>
        <w:rPr>
          <w:i/>
          <w:iCs/>
        </w:rPr>
        <w:t xml:space="preserve">Issues impactées : </w:t>
      </w:r>
      <w:r>
        <w:rPr>
          <w:i/>
          <w:iCs/>
        </w:rPr>
        <w:t xml:space="preserve">EA-038 (directe) ; EA-080 (la remédiation minutée réutilise ce format).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single" w:color="E9559E" w:sz="6"/>
              <w:left w:val="single" w:color="E9559E" w:sz="6"/>
              <w:bottom w:val="single" w:color="E9559E" w:sz="6"/>
              <w:right w:val="single" w:color="E9559E" w:sz="6"/>
            </w:tcBorders>
            <w:shd w:fill="FDEF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</w:pPr>
            <w:r>
              <w:rPr>
                <w:b/>
                <w:bCs/>
                <w:color w:val="E9559E"/>
              </w:rPr>
              <w:t xml:space="preserve">DÉCISION   </w:t>
            </w:r>
            <w:r>
              <w:t xml:space="preserve">Format validé : ☐ oui    ☐ amendé : ______________________</w:t>
            </w:r>
          </w:p>
        </w:tc>
      </w:tr>
    </w:tbl>
    <w:p>
      <w:pPr>
        <w:pStyle w:val="Heading2"/>
        <w:spacing w:after="140" w:before="280"/>
      </w:pPr>
      <w:r>
        <w:t xml:space="preserve">F5 · Badge de leçon vs certificat de formation (Z8, C8)</w:t>
      </w:r>
    </w:p>
    <w:p>
      <w:pPr>
        <w:spacing w:after="120"/>
      </w:pPr>
      <w:r>
        <w:rPr>
          <w:b/>
          <w:bCs/>
        </w:rPr>
        <w:t xml:space="preserve">Question : </w:t>
      </w:r>
      <w:r>
        <w:t xml:space="preserve">le doc demande un « badge cliquable à chaque leçon terminée permettant de télécharger le certificat » — existe-t-il un certificat par leçon ?</w:t>
      </w:r>
    </w:p>
    <w:p>
      <w:pPr>
        <w:spacing w:after="120"/>
      </w:pPr>
      <w:r>
        <w:rPr>
          <w:b/>
          <w:bCs/>
        </w:rPr>
        <w:t xml:space="preserve">Constat code : </w:t>
      </w:r>
      <w:r>
        <w:t xml:space="preserve">le certificat n'existe qu'au niveau formation (généré automatiquement à 100 %, DomPDF). Les badges de gamification existent (badges/user_badges) mais ne sont pas liés aux leçons.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60"/>
        <w:gridCol w:w="3240"/>
        <w:gridCol w:w="2700"/>
      </w:tblGrid>
      <w:tr>
        <w:trPr>
          <w:tblHeader/>
        </w:trPr>
        <w:tc>
          <w:tcPr>
            <w:tcW w:type="dxa" w:w="3060"/>
            <w:shd w:fill="01344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</w:rPr>
              <w:t xml:space="preserve">Option</w:t>
            </w:r>
          </w:p>
        </w:tc>
        <w:tc>
          <w:tcPr>
            <w:tcW w:type="dxa" w:w="3240"/>
            <w:shd w:fill="01344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</w:rPr>
              <w:t xml:space="preserve">Description</w:t>
            </w:r>
          </w:p>
        </w:tc>
        <w:tc>
          <w:tcPr>
            <w:tcW w:type="dxa" w:w="2700"/>
            <w:shd w:fill="01344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</w:rPr>
              <w:t xml:space="preserve">Conséquences</w:t>
            </w:r>
          </w:p>
        </w:tc>
      </w:tr>
      <w:tr>
        <w:tc>
          <w:tcPr>
            <w:tcW w:type="dxa" w:w="30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/>
            </w:pPr>
            <w:r>
              <w:rPr>
                <w:b/>
                <w:bCs/>
              </w:rPr>
              <w:t xml:space="preserve">A. Certificat = formation ; badge de leçon = jalon visuel  </w:t>
            </w:r>
            <w:r>
              <w:rPr>
                <w:color w:val="E9559E"/>
              </w:rPr>
              <w:t xml:space="preserve">(recommandée)</w:t>
            </w:r>
          </w:p>
        </w:tc>
        <w:tc>
          <w:tcPr>
            <w:tcW w:type="dxa" w:w="32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Chaque leçon terminée affiche un badge (coche/médaille). Formation en cours : état « en préparation » au survol. Formation terminée : le badge devient cliquable → certificat de la formation.</w:t>
            </w:r>
          </w:p>
        </w:tc>
        <w:tc>
          <w:tcPr>
            <w:tcW w:type="dxa" w:w="2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Aucun nouveau document légal ; réutilise la gamification ; répond à l'esprit de la demande (visibilité de l'accomplissement).</w:t>
            </w:r>
          </w:p>
        </w:tc>
      </w:tr>
      <w:tr>
        <w:tc>
          <w:tcPr>
            <w:tcW w:type="dxa" w:w="30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B. Certificat par leçon</w:t>
            </w:r>
          </w:p>
        </w:tc>
        <w:tc>
          <w:tcPr>
            <w:tcW w:type="dxa" w:w="32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Nouveau template, nouvelle table, N certificats par formation.</w:t>
            </w:r>
          </w:p>
        </w:tc>
        <w:tc>
          <w:tcPr>
            <w:tcW w:type="dxa" w:w="2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Inflation documentaire ; dilue la valeur du certificat QUALIOPI ; à ne retenir que sur besoin client explicite.</w:t>
            </w:r>
          </w:p>
        </w:tc>
      </w:tr>
    </w:tbl>
    <w:p>
      <w:pPr>
        <w:spacing w:after="120"/>
      </w:pPr>
    </w:p>
    <w:p>
      <w:pPr>
        <w:spacing w:after="120"/>
      </w:pPr>
      <w:r>
        <w:rPr>
          <w:b/>
          <w:bCs/>
        </w:rPr>
        <w:t xml:space="preserve">Recommandation : </w:t>
      </w:r>
      <w:r>
        <w:rPr>
          <w:b/>
          <w:bCs/>
        </w:rPr>
        <w:t xml:space="preserve">A</w:t>
      </w:r>
      <w:r>
        <w:t xml:space="preserve">.</w:t>
      </w:r>
    </w:p>
    <w:p>
      <w:pPr>
        <w:spacing w:after="100"/>
      </w:pPr>
      <w:r>
        <w:rPr>
          <w:i/>
          <w:iCs/>
        </w:rPr>
        <w:t xml:space="preserve">Issues impactées : </w:t>
      </w:r>
      <w:r>
        <w:rPr>
          <w:i/>
          <w:iCs/>
        </w:rPr>
        <w:t xml:space="preserve">EA-039 (directe) ; EA-033.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single" w:color="E9559E" w:sz="6"/>
              <w:left w:val="single" w:color="E9559E" w:sz="6"/>
              <w:bottom w:val="single" w:color="E9559E" w:sz="6"/>
              <w:right w:val="single" w:color="E9559E" w:sz="6"/>
            </w:tcBorders>
            <w:shd w:fill="FDEF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</w:pPr>
            <w:r>
              <w:rPr>
                <w:b/>
                <w:bCs/>
                <w:color w:val="E9559E"/>
              </w:rPr>
              <w:t xml:space="preserve">DÉCISION   </w:t>
            </w:r>
            <w:r>
              <w:t xml:space="preserve">☐ A    ☐ B</w:t>
            </w:r>
          </w:p>
        </w:tc>
      </w:tr>
    </w:tbl>
    <w:p>
      <w:pPr>
        <w:pStyle w:val="Heading2"/>
        <w:spacing w:after="140" w:before="280"/>
      </w:pPr>
      <w:r>
        <w:t xml:space="preserve">F6 · Définition de « Tuto » (Z17)</w:t>
      </w:r>
    </w:p>
    <w:p>
      <w:pPr>
        <w:spacing w:after="120"/>
      </w:pPr>
      <w:r>
        <w:rPr>
          <w:b/>
          <w:bCs/>
        </w:rPr>
        <w:t xml:space="preserve">Question : </w:t>
      </w:r>
      <w:r>
        <w:t xml:space="preserve">l'écran Cours cible liste Parcours / Cours / Tuto — qu'est-ce qu'un Tuto ?</w:t>
      </w:r>
    </w:p>
    <w:p>
      <w:pPr>
        <w:spacing w:after="120"/>
      </w:pPr>
      <w:r>
        <w:rPr>
          <w:b/>
          <w:bCs/>
        </w:rPr>
        <w:t xml:space="preserve">Constat code : </w:t>
      </w:r>
      <w:r>
        <w:t xml:space="preserve">course_types = Self-paced / Structured / Scheduled ; learning_paths = parcours. Aucune notion de tuto.</w:t>
      </w:r>
    </w:p>
    <w:p>
      <w:pPr>
        <w:spacing w:after="120"/>
      </w:pPr>
      <w:r>
        <w:rPr>
          <w:b/>
          <w:bCs/>
        </w:rPr>
        <w:t xml:space="preserve">Proposition à valider : </w:t>
      </w:r>
      <w:r>
        <w:t xml:space="preserve">un Tuto = un cours allégé mono-leçon (un ou quelques supports, pas de quiz obligatoire, pas de certificat), techniquement un course_type supplémentaire — aucune nouvelle table, et il bénéficie de tout l'existant (inscription, suivi, chat). Alternative : simple étiquette éditoriale (encore plus léger, mais aucune règle propre — un « tuto » pourrait alors exiger un quiz).</w:t>
      </w:r>
    </w:p>
    <w:p>
      <w:pPr>
        <w:spacing w:after="100"/>
      </w:pPr>
      <w:r>
        <w:rPr>
          <w:i/>
          <w:iCs/>
        </w:rPr>
        <w:t xml:space="preserve">Issues impactées : </w:t>
      </w:r>
      <w:r>
        <w:rPr>
          <w:i/>
          <w:iCs/>
        </w:rPr>
        <w:t xml:space="preserve">EA-058, EA-062.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single" w:color="E9559E" w:sz="6"/>
              <w:left w:val="single" w:color="E9559E" w:sz="6"/>
              <w:bottom w:val="single" w:color="E9559E" w:sz="6"/>
              <w:right w:val="single" w:color="E9559E" w:sz="6"/>
            </w:tcBorders>
            <w:shd w:fill="FDEF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</w:pPr>
            <w:r>
              <w:rPr>
                <w:b/>
                <w:bCs/>
                <w:color w:val="E9559E"/>
              </w:rPr>
              <w:t xml:space="preserve">DÉCISION   </w:t>
            </w:r>
            <w:r>
              <w:t xml:space="preserve">Tuto = ☐ course_type dédié    ☐ étiquette éditoriale    —  Certificat sur tuto : ☐ non  ☐ oui</w:t>
            </w:r>
          </w:p>
        </w:tc>
      </w:tr>
    </w:tbl>
    <w:p>
      <w:pPr>
        <w:pStyle w:val="Heading1"/>
        <w:pageBreakBefore/>
        <w:spacing w:after="200" w:before="240"/>
      </w:pPr>
      <w:r>
        <w:t xml:space="preserve">Session B — Rôles, organisation, RGPD</w:t>
      </w:r>
    </w:p>
    <w:p>
      <w:pPr>
        <w:pStyle w:val="Heading2"/>
        <w:spacing w:after="140" w:before="280"/>
      </w:pPr>
      <w:r>
        <w:t xml:space="preserve">F7 · Matrice des rôles cible — à valider ligne par ligne (Z2, C6)</w:t>
      </w:r>
    </w:p>
    <w:p>
      <w:pPr>
        <w:spacing w:after="120"/>
      </w:pPr>
      <w:r>
        <w:rPr>
          <w:b/>
          <w:bCs/>
        </w:rPr>
        <w:t xml:space="preserve">Question : </w:t>
      </w:r>
      <w:r>
        <w:t xml:space="preserve">quels rôles, quel périmètre de données, quels écrans pour chacun ?</w:t>
      </w:r>
    </w:p>
    <w:p>
      <w:pPr>
        <w:spacing w:after="120"/>
      </w:pPr>
      <w:r>
        <w:rPr>
          <w:b/>
          <w:bCs/>
        </w:rPr>
        <w:t xml:space="preserve">Constat code : </w:t>
      </w:r>
      <w:r>
        <w:t xml:space="preserve">7 rôles Spatie (learner, teacher, manager, admin, sub_manager, manager_general, director) dont 2 non seedés (director, manager_general) ; pas de rôle RH ; 5 blocs de routes copiés-collés ; le rôle manager actuel a une portée GLOBALE sur le dashboard (comportement d'admin fonctionnel).</w:t>
      </w:r>
    </w:p>
    <w:p>
      <w:pPr>
        <w:spacing w:after="120"/>
      </w:pPr>
      <w:r>
        <w:rPr>
          <w:b/>
          <w:bCs/>
        </w:rPr>
        <w:t xml:space="preserve">Proposition de matrice cible (à corriger en séance) :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1530"/>
        <w:gridCol w:w="2160"/>
        <w:gridCol w:w="2700"/>
        <w:gridCol w:w="1170"/>
      </w:tblGrid>
      <w:tr>
        <w:trPr>
          <w:tblHeader/>
        </w:trPr>
        <w:tc>
          <w:tcPr>
            <w:tcW w:type="dxa" w:w="1440"/>
            <w:shd w:fill="01344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</w:rPr>
              <w:t xml:space="preserve">Rôle code</w:t>
            </w:r>
          </w:p>
        </w:tc>
        <w:tc>
          <w:tcPr>
            <w:tcW w:type="dxa" w:w="1530"/>
            <w:shd w:fill="01344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</w:rPr>
              <w:t xml:space="preserve">Libellé métier</w:t>
            </w:r>
          </w:p>
        </w:tc>
        <w:tc>
          <w:tcPr>
            <w:tcW w:type="dxa" w:w="2160"/>
            <w:shd w:fill="01344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</w:rPr>
              <w:t xml:space="preserve">Voit</w:t>
            </w:r>
          </w:p>
        </w:tc>
        <w:tc>
          <w:tcPr>
            <w:tcW w:type="dxa" w:w="2700"/>
            <w:shd w:fill="01344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</w:rPr>
              <w:t xml:space="preserve">Écrans pilotage</w:t>
            </w:r>
          </w:p>
        </w:tc>
        <w:tc>
          <w:tcPr>
            <w:tcW w:type="dxa" w:w="1170"/>
            <w:shd w:fill="01344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</w:rPr>
              <w:t xml:space="preserve">Crée des users</w:t>
            </w:r>
          </w:p>
        </w:tc>
      </w:tr>
      <w:tr>
        <w:tc>
          <w:tcPr>
            <w:tcW w:type="dxa" w:w="14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learner</w:t>
            </w:r>
          </w:p>
        </w:tc>
        <w:tc>
          <w:tcPr>
            <w:tcW w:type="dxa" w:w="153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Apprenant</w:t>
            </w:r>
          </w:p>
        </w:tc>
        <w:tc>
          <w:tcPr>
            <w:tcW w:type="dxa" w:w="21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soi</w:t>
            </w:r>
          </w:p>
        </w:tc>
        <w:tc>
          <w:tcPr>
            <w:tcW w:type="dxa" w:w="2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—</w:t>
            </w:r>
          </w:p>
        </w:tc>
        <w:tc>
          <w:tcPr>
            <w:tcW w:type="dxa" w:w="117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non</w:t>
            </w:r>
          </w:p>
        </w:tc>
      </w:tr>
      <w:tr>
        <w:tc>
          <w:tcPr>
            <w:tcW w:type="dxa" w:w="14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teacher</w:t>
            </w:r>
          </w:p>
        </w:tc>
        <w:tc>
          <w:tcPr>
            <w:tcW w:type="dxa" w:w="153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Formateur</w:t>
            </w:r>
          </w:p>
        </w:tc>
        <w:tc>
          <w:tcPr>
            <w:tcW w:type="dxa" w:w="21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apprenants de SES formations</w:t>
            </w:r>
          </w:p>
        </w:tc>
        <w:tc>
          <w:tcPr>
            <w:tcW w:type="dxa" w:w="2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Liste apprenants + cockpit (restreint) + chat</w:t>
            </w:r>
          </w:p>
        </w:tc>
        <w:tc>
          <w:tcPr>
            <w:tcW w:type="dxa" w:w="117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non</w:t>
            </w:r>
          </w:p>
        </w:tc>
      </w:tr>
      <w:tr>
        <w:tc>
          <w:tcPr>
            <w:tcW w:type="dxa" w:w="14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sub_manager</w:t>
            </w:r>
          </w:p>
        </w:tc>
        <w:tc>
          <w:tcPr>
            <w:tcW w:type="dxa" w:w="153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Manager</w:t>
            </w:r>
          </w:p>
        </w:tc>
        <w:tc>
          <w:tcPr>
            <w:tcW w:type="dxa" w:w="21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rattachés directs</w:t>
            </w:r>
          </w:p>
        </w:tc>
        <w:tc>
          <w:tcPr>
            <w:tcW w:type="dxa" w:w="2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Dashboard, Invitation*, Mes collaborateurs</w:t>
            </w:r>
          </w:p>
        </w:tc>
        <w:tc>
          <w:tcPr>
            <w:tcW w:type="dxa" w:w="117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non</w:t>
            </w:r>
          </w:p>
        </w:tc>
      </w:tr>
      <w:tr>
        <w:tc>
          <w:tcPr>
            <w:tcW w:type="dxa" w:w="14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manager_general</w:t>
            </w:r>
          </w:p>
        </w:tc>
        <w:tc>
          <w:tcPr>
            <w:tcW w:type="dxa" w:w="153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Manager général</w:t>
            </w:r>
          </w:p>
        </w:tc>
        <w:tc>
          <w:tcPr>
            <w:tcW w:type="dxa" w:w="21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hiérarchie directe + indirecte</w:t>
            </w:r>
          </w:p>
        </w:tc>
        <w:tc>
          <w:tcPr>
            <w:tcW w:type="dxa" w:w="2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+ Mes équipes</w:t>
            </w:r>
          </w:p>
        </w:tc>
        <w:tc>
          <w:tcPr>
            <w:tcW w:type="dxa" w:w="117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non</w:t>
            </w:r>
          </w:p>
        </w:tc>
      </w:tr>
      <w:tr>
        <w:tc>
          <w:tcPr>
            <w:tcW w:type="dxa" w:w="14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director</w:t>
            </w:r>
          </w:p>
        </w:tc>
        <w:tc>
          <w:tcPr>
            <w:tcW w:type="dxa" w:w="153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Directeur</w:t>
            </w:r>
          </w:p>
        </w:tc>
        <w:tc>
          <w:tcPr>
            <w:tcW w:type="dxa" w:w="21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hiérarchie directe + indirecte</w:t>
            </w:r>
          </w:p>
        </w:tc>
        <w:tc>
          <w:tcPr>
            <w:tcW w:type="dxa" w:w="2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+ Mes équipes</w:t>
            </w:r>
          </w:p>
        </w:tc>
        <w:tc>
          <w:tcPr>
            <w:tcW w:type="dxa" w:w="117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non</w:t>
            </w:r>
          </w:p>
        </w:tc>
      </w:tr>
      <w:tr>
        <w:tc>
          <w:tcPr>
            <w:tcW w:type="dxa" w:w="14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manager_rh</w:t>
            </w:r>
          </w:p>
        </w:tc>
        <w:tc>
          <w:tcPr>
            <w:tcW w:type="dxa" w:w="153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Manager RH (à créer)</w:t>
            </w:r>
          </w:p>
        </w:tc>
        <w:tc>
          <w:tcPr>
            <w:tcW w:type="dxa" w:w="21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tous les utilisateurs</w:t>
            </w:r>
          </w:p>
        </w:tc>
        <w:tc>
          <w:tcPr>
            <w:tcW w:type="dxa" w:w="2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+ Tous les collaborateurs</w:t>
            </w:r>
          </w:p>
        </w:tc>
        <w:tc>
          <w:tcPr>
            <w:tcW w:type="dxa" w:w="117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non</w:t>
            </w:r>
          </w:p>
        </w:tc>
      </w:tr>
      <w:tr>
        <w:tc>
          <w:tcPr>
            <w:tcW w:type="dxa" w:w="14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admin</w:t>
            </w:r>
          </w:p>
        </w:tc>
        <w:tc>
          <w:tcPr>
            <w:tcW w:type="dxa" w:w="153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Administrateur</w:t>
            </w:r>
          </w:p>
        </w:tc>
        <w:tc>
          <w:tcPr>
            <w:tcW w:type="dxa" w:w="21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tout</w:t>
            </w:r>
          </w:p>
        </w:tc>
        <w:tc>
          <w:tcPr>
            <w:tcW w:type="dxa" w:w="2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Admin complet</w:t>
            </w:r>
          </w:p>
        </w:tc>
        <w:tc>
          <w:tcPr>
            <w:tcW w:type="dxa" w:w="117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OUI (seul)</w:t>
            </w:r>
          </w:p>
        </w:tc>
      </w:tr>
      <w:tr>
        <w:tc>
          <w:tcPr>
            <w:tcW w:type="dxa" w:w="14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manager</w:t>
            </w:r>
          </w:p>
        </w:tc>
        <w:tc>
          <w:tcPr>
            <w:tcW w:type="dxa" w:w="153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⚠️ à statuer</w:t>
            </w:r>
          </w:p>
        </w:tc>
        <w:tc>
          <w:tcPr>
            <w:tcW w:type="dxa" w:w="21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aujourd'hui : portée globale</w:t>
            </w:r>
          </w:p>
        </w:tc>
        <w:tc>
          <w:tcPr>
            <w:tcW w:type="dxa" w:w="2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—</w:t>
            </w:r>
          </w:p>
        </w:tc>
        <w:tc>
          <w:tcPr>
            <w:tcW w:type="dxa" w:w="117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aujourd'hui : oui</w:t>
            </w:r>
          </w:p>
        </w:tc>
      </w:tr>
    </w:tbl>
    <w:p>
      <w:pPr>
        <w:spacing w:before="60"/>
      </w:pPr>
      <w:r>
        <w:rPr>
          <w:i/>
          <w:iCs/>
        </w:rPr>
        <w:t xml:space="preserve">* Invitation = inscription d'utilisateurs existants à des formations (cf. F9).</w:t>
      </w:r>
    </w:p>
    <w:p>
      <w:pPr>
        <w:spacing w:after="120"/>
      </w:pPr>
      <w:r>
        <w:rPr>
          <w:b/>
          <w:bCs/>
        </w:rPr>
        <w:t xml:space="preserve">Points à trancher explicitement :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Le « Manager » du doc Features UX = sub_manager du code ? (probable, à confirmer)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Sort du rôle manager actuel (admin fonctionnel) : fusionner dans admin / garder comme « admin délégué » / requalifier.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manager_general et director : mêmes droits (le doc les traite ensemble) ? Si oui, distinction par libellé seulement.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Règle générique : l'onglet Mes équipes s'affiche dès qu'il existe &gt;1 niveau hiérarchique sous l'utilisateur (piloté par la donnée, pas par le rôle).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Le formateur voit-il les données de suivi détaillées (temps, connexions) ou seulement les résultats pédagogiques ? (lié F11)</w:t>
      </w:r>
    </w:p>
    <w:p>
      <w:pPr>
        <w:spacing w:after="100"/>
      </w:pPr>
      <w:r>
        <w:rPr>
          <w:i/>
          <w:iCs/>
        </w:rPr>
        <w:t xml:space="preserve">Issues impactées : </w:t>
      </w:r>
      <w:r>
        <w:rPr>
          <w:i/>
          <w:iCs/>
        </w:rPr>
        <w:t xml:space="preserve">EA-003, EA-008, EA-043, EA-046, EA-048 à EA-056.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single" w:color="E9559E" w:sz="6"/>
              <w:left w:val="single" w:color="E9559E" w:sz="6"/>
              <w:bottom w:val="single" w:color="E9559E" w:sz="6"/>
              <w:right w:val="single" w:color="E9559E" w:sz="6"/>
            </w:tcBorders>
            <w:shd w:fill="FDEF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</w:pPr>
            <w:r>
              <w:rPr>
                <w:b/>
                <w:bCs/>
                <w:color w:val="E9559E"/>
              </w:rPr>
              <w:t xml:space="preserve">DÉCISION   </w:t>
            </w:r>
            <w:r>
              <w:t xml:space="preserve">Mapping validé : ☐  —  Sort de « manager » : ______________  —  MG = Directeur : ☐ oui ☐ non  —  Règle profondeur : ☐ validée  —  Périmètre formateur : ______________</w:t>
            </w:r>
          </w:p>
        </w:tc>
      </w:tr>
    </w:tbl>
    <w:p>
      <w:pPr>
        <w:pStyle w:val="Heading2"/>
        <w:spacing w:after="140" w:before="280"/>
      </w:pPr>
      <w:r>
        <w:t xml:space="preserve">F8 · Société : référentiel simple ou multi-tenancy (Z3)</w:t>
      </w:r>
    </w:p>
    <w:p>
      <w:pPr>
        <w:spacing w:after="120"/>
      </w:pPr>
      <w:r>
        <w:rPr>
          <w:b/>
          <w:bCs/>
        </w:rPr>
        <w:t xml:space="preserve">Question : </w:t>
      </w:r>
      <w:r>
        <w:t xml:space="preserve">le champ « société » (Aïkan, ACS…) est-il un simple attribut d'affichage/filtre, ou le début d'un cloisonnement des données par entreprise ?</w:t>
      </w:r>
    </w:p>
    <w:p>
      <w:pPr>
        <w:spacing w:after="120"/>
      </w:pPr>
      <w:r>
        <w:rPr>
          <w:b/>
          <w:bCs/>
        </w:rPr>
        <w:t xml:space="preserve">Constat code : </w:t>
      </w:r>
      <w:r>
        <w:t xml:space="preserve">aucune table société. Le cloisonnement actuel est purement hiérarchique (parent_id).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3420"/>
        <w:gridCol w:w="3240"/>
      </w:tblGrid>
      <w:tr>
        <w:trPr>
          <w:tblHeader/>
        </w:trPr>
        <w:tc>
          <w:tcPr>
            <w:tcW w:type="dxa" w:w="2340"/>
            <w:shd w:fill="01344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</w:rPr>
              <w:t xml:space="preserve">Option</w:t>
            </w:r>
          </w:p>
        </w:tc>
        <w:tc>
          <w:tcPr>
            <w:tcW w:type="dxa" w:w="3420"/>
            <w:shd w:fill="01344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</w:rPr>
              <w:t xml:space="preserve">Description</w:t>
            </w:r>
          </w:p>
        </w:tc>
        <w:tc>
          <w:tcPr>
            <w:tcW w:type="dxa" w:w="3240"/>
            <w:shd w:fill="01344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</w:rPr>
              <w:t xml:space="preserve">Conséquences</w:t>
            </w:r>
          </w:p>
        </w:tc>
      </w:tr>
      <w:tr>
        <w:tc>
          <w:tcPr>
            <w:tcW w:type="dxa" w:w="23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/>
            </w:pPr>
            <w:r>
              <w:rPr>
                <w:b/>
                <w:bCs/>
              </w:rPr>
              <w:t xml:space="preserve">A. Référentiel simple  </w:t>
            </w:r>
            <w:r>
              <w:rPr>
                <w:color w:val="E9559E"/>
              </w:rPr>
              <w:t xml:space="preserve">(recommandée)</w:t>
            </w:r>
          </w:p>
        </w:tc>
        <w:tc>
          <w:tcPr>
            <w:tcW w:type="dxa" w:w="34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Table companies (nom, statut) gérée dans Paramètres ; users.company_id ; colonne + filtre + hover card. Aucune règle d'accès basée sur la société.</w:t>
            </w:r>
          </w:p>
        </w:tc>
        <w:tc>
          <w:tcPr>
            <w:tcW w:type="dxa" w:w="32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2-3 jours. Couvre 100 % du doc Features UX (la société n'y est qu'une colonne).</w:t>
            </w:r>
          </w:p>
        </w:tc>
      </w:tr>
      <w:tr>
        <w:tc>
          <w:tcPr>
            <w:tcW w:type="dxa" w:w="23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B. Multi-tenancy</w:t>
            </w:r>
          </w:p>
        </w:tc>
        <w:tc>
          <w:tcPr>
            <w:tcW w:type="dxa" w:w="34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La société devient un périmètre d'accès (un manager ne voit que sa société, catalogues distincts…).</w:t>
            </w:r>
          </w:p>
        </w:tc>
        <w:tc>
          <w:tcPr>
            <w:tcW w:type="dxa" w:w="32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Chantier transverse majeur (toutes les requêtes, tous les écrans) ; recoupe la vision SaaS mais n'est PAS demandé ici.</w:t>
            </w:r>
          </w:p>
        </w:tc>
      </w:tr>
    </w:tbl>
    <w:p>
      <w:pPr>
        <w:spacing w:after="120"/>
      </w:pPr>
    </w:p>
    <w:p>
      <w:pPr>
        <w:spacing w:after="120"/>
      </w:pPr>
      <w:r>
        <w:rPr>
          <w:b/>
          <w:bCs/>
        </w:rPr>
        <w:t xml:space="preserve">Recommandation : </w:t>
      </w:r>
      <w:r>
        <w:rPr>
          <w:b/>
          <w:bCs/>
        </w:rPr>
        <w:t xml:space="preserve">A</w:t>
      </w:r>
      <w:r>
        <w:t xml:space="preserve">, en nommant la contrainte d'avenir : ne rien coder qui empêche un cloisonnement futur (le company_id posé proprement aujourd'hui est la fondation du multi-tenant de demain).</w:t>
      </w:r>
    </w:p>
    <w:p>
      <w:pPr>
        <w:spacing w:after="100"/>
      </w:pPr>
      <w:r>
        <w:rPr>
          <w:i/>
          <w:iCs/>
        </w:rPr>
        <w:t xml:space="preserve">Issues impactées : </w:t>
      </w:r>
      <w:r>
        <w:rPr>
          <w:i/>
          <w:iCs/>
        </w:rPr>
        <w:t xml:space="preserve">EA-041 (directe) ; EA-046, EA-049, EA-052.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single" w:color="E9559E" w:sz="6"/>
              <w:left w:val="single" w:color="E9559E" w:sz="6"/>
              <w:bottom w:val="single" w:color="E9559E" w:sz="6"/>
              <w:right w:val="single" w:color="E9559E" w:sz="6"/>
            </w:tcBorders>
            <w:shd w:fill="FDEF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</w:pPr>
            <w:r>
              <w:rPr>
                <w:b/>
                <w:bCs/>
                <w:color w:val="E9559E"/>
              </w:rPr>
              <w:t xml:space="preserve">DÉCISION   </w:t>
            </w:r>
            <w:r>
              <w:t xml:space="preserve">☐ A    ☐ B    —  Liste initiale des sociétés : ______________________</w:t>
            </w:r>
          </w:p>
        </w:tc>
      </w:tr>
    </w:tbl>
    <w:p>
      <w:pPr>
        <w:pStyle w:val="Heading2"/>
        <w:spacing w:after="140" w:before="280"/>
      </w:pPr>
      <w:r>
        <w:t xml:space="preserve">F9 · Création d'utilisateurs vs invitations (Z13, C3, C4)</w:t>
      </w:r>
    </w:p>
    <w:p>
      <w:pPr>
        <w:spacing w:after="120"/>
      </w:pPr>
      <w:r>
        <w:rPr>
          <w:b/>
          <w:bCs/>
        </w:rPr>
        <w:t xml:space="preserve">Question : </w:t>
      </w:r>
      <w:r>
        <w:t xml:space="preserve">« seuls les admins créent des utilisateurs » — que devient l'invitation par email, qui aujourd'hui crée des comptes à la volée (mot de passe aléatoire envoyé en clair) et force l'inscription en Approved ?</w:t>
      </w:r>
    </w:p>
    <w:p>
      <w:pPr>
        <w:spacing w:after="120"/>
      </w:pPr>
      <w:r>
        <w:rPr>
          <w:b/>
          <w:bCs/>
        </w:rPr>
        <w:t xml:space="preserve">Proposition à valider :</w:t>
      </w:r>
    </w:p>
    <w:p>
      <w:pPr>
        <w:pStyle w:val="ListParagraph"/>
        <w:numPr>
          <w:ilvl w:val="0"/>
          <w:numId w:val="4"/>
        </w:numPr>
        <w:spacing w:after="60"/>
      </w:pPr>
      <w:r>
        <w:rPr>
          <w:b/>
          <w:bCs/>
        </w:rPr>
        <w:t xml:space="preserve">Création de compte = admin uniquement</w:t>
      </w:r>
      <w:r>
        <w:t xml:space="preserve"> (retrait des routes des 4 autres rôles).</w:t>
      </w:r>
    </w:p>
    <w:p>
      <w:pPr>
        <w:pStyle w:val="ListParagraph"/>
        <w:numPr>
          <w:ilvl w:val="0"/>
          <w:numId w:val="4"/>
        </w:numPr>
        <w:spacing w:after="60"/>
      </w:pPr>
      <w:r>
        <w:rPr>
          <w:b/>
          <w:bCs/>
        </w:rPr>
        <w:t xml:space="preserve">Invitation par les managers = inscription d'utilisateurs existants</w:t>
      </w:r>
      <w:r>
        <w:t xml:space="preserve"> à des formations (sélection dans leur périmètre) + relance des non-inscrits. L'entrée « inviter un email inconnu » disparaît pour eux — remplacée par « demander la création à l'admin » (pré-rempli, cf. tickets/chat).</w:t>
      </w:r>
    </w:p>
    <w:p>
      <w:pPr>
        <w:pStyle w:val="ListParagraph"/>
        <w:numPr>
          <w:ilvl w:val="0"/>
          <w:numId w:val="4"/>
        </w:numPr>
        <w:spacing w:after="60"/>
      </w:pPr>
      <w:r>
        <w:rPr>
          <w:b/>
          <w:bCs/>
        </w:rPr>
        <w:t xml:space="preserve">1 email par utilisateur et par envoi</w:t>
      </w:r>
      <w:r>
        <w:t xml:space="preserve">, listant toutes les formations (C4).</w:t>
      </w:r>
    </w:p>
    <w:p>
      <w:pPr>
        <w:pStyle w:val="ListParagraph"/>
        <w:numPr>
          <w:ilvl w:val="0"/>
          <w:numId w:val="4"/>
        </w:numPr>
        <w:spacing w:after="60"/>
      </w:pPr>
      <w:r>
        <w:t xml:space="preserve">Nouveau compte : </w:t>
      </w:r>
      <w:r>
        <w:rPr>
          <w:b/>
          <w:bCs/>
        </w:rPr>
        <w:t xml:space="preserve">mail d'onboarding</w:t>
      </w:r>
      <w:r>
        <w:t xml:space="preserve"> avec lien sécurisé « définir mon mot de passe » + complétion du profil à la 1ʳᵉ connexion — plus aucun mot de passe en clair.</w:t>
      </w:r>
    </w:p>
    <w:p>
      <w:pPr>
        <w:spacing w:after="120"/>
      </w:pPr>
      <w:r>
        <w:rPr>
          <w:i/>
          <w:iCs/>
        </w:rPr>
        <w:t xml:space="preserve">Variante si le flux « inviter un inconnu » doit rester : l'invitation crée un compte inactif qui ne devient réel qu'à l'acceptation (lien à expiration), et l'acte reste réservé à l'admin.</w:t>
      </w:r>
    </w:p>
    <w:p>
      <w:pPr>
        <w:spacing w:after="100"/>
      </w:pPr>
      <w:r>
        <w:rPr>
          <w:i/>
          <w:iCs/>
        </w:rPr>
        <w:t xml:space="preserve">Issues impactées : </w:t>
      </w:r>
      <w:r>
        <w:rPr>
          <w:i/>
          <w:iCs/>
        </w:rPr>
        <w:t xml:space="preserve">EA-003, EA-044, EA-045.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single" w:color="E9559E" w:sz="6"/>
              <w:left w:val="single" w:color="E9559E" w:sz="6"/>
              <w:bottom w:val="single" w:color="E9559E" w:sz="6"/>
              <w:right w:val="single" w:color="E9559E" w:sz="6"/>
            </w:tcBorders>
            <w:shd w:fill="FDEF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</w:pPr>
            <w:r>
              <w:rPr>
                <w:b/>
                <w:bCs/>
                <w:color w:val="E9559E"/>
              </w:rPr>
              <w:t xml:space="preserve">DÉCISION   </w:t>
            </w:r>
            <w:r>
              <w:t xml:space="preserve">Points 1-4 : ☐ validés  ☐ amendés : ______________  —  Flux « email inconnu » : ☐ supprimé  ☐ variante compte inactif</w:t>
            </w:r>
          </w:p>
        </w:tc>
      </w:tr>
    </w:tbl>
    <w:p>
      <w:pPr>
        <w:pStyle w:val="Heading2"/>
        <w:spacing w:after="140" w:before="280"/>
      </w:pPr>
      <w:r>
        <w:t xml:space="preserve">F10 · Menu manager « Rôle » (Z10)</w:t>
      </w:r>
    </w:p>
    <w:p>
      <w:pPr>
        <w:spacing w:after="120"/>
      </w:pPr>
      <w:r>
        <w:rPr>
          <w:b/>
          <w:bCs/>
        </w:rPr>
        <w:t xml:space="preserve">Question : </w:t>
      </w:r>
      <w:r>
        <w:t xml:space="preserve">le doc réduit le pilotage à « Dashboard / Invitation / Utilisateurs / Rôle » — que recouvre « Rôle » pour un manager qui ne crée plus d'utilisateurs ?</w:t>
      </w:r>
    </w:p>
    <w:p>
      <w:pPr>
        <w:spacing w:after="120"/>
      </w:pPr>
      <w:r>
        <w:rPr>
          <w:b/>
          <w:bCs/>
        </w:rPr>
        <w:t xml:space="preserve">Hypothèses : </w:t>
      </w:r>
      <w:r>
        <w:t xml:space="preserve">(a) consultation de la matrice des rôles (qui a quel droit) ; (b) demande de changement de rôle d'un collaborateur (workflow vers l'admin) ; (c) faute de frappe pour « Rôles » au sens annuaire d'équipe ; (d) l'écran n'a pas lieu d'être.</w:t>
      </w:r>
    </w:p>
    <w:p>
      <w:pPr>
        <w:spacing w:after="120"/>
      </w:pPr>
      <w:r>
        <w:rPr>
          <w:b/>
          <w:bCs/>
        </w:rPr>
        <w:t xml:space="preserve">Recommandation : </w:t>
      </w:r>
      <w:r>
        <w:t xml:space="preserve">trancher en séance </w:t>
      </w:r>
      <w:r>
        <w:rPr>
          <w:b/>
          <w:bCs/>
        </w:rPr>
        <w:t xml:space="preserve">avec le demandeur du doc</w:t>
      </w:r>
      <w:r>
        <w:t xml:space="preserve"> ; par défaut (a) consultation seule, le changement de rôle restant un acte admin.</w:t>
      </w:r>
    </w:p>
    <w:p>
      <w:pPr>
        <w:spacing w:after="100"/>
      </w:pPr>
      <w:r>
        <w:rPr>
          <w:i/>
          <w:iCs/>
        </w:rPr>
        <w:t xml:space="preserve">Issues impactées : </w:t>
      </w:r>
      <w:r>
        <w:rPr>
          <w:i/>
          <w:iCs/>
        </w:rPr>
        <w:t xml:space="preserve">EA-056.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single" w:color="E9559E" w:sz="6"/>
              <w:left w:val="single" w:color="E9559E" w:sz="6"/>
              <w:bottom w:val="single" w:color="E9559E" w:sz="6"/>
              <w:right w:val="single" w:color="E9559E" w:sz="6"/>
            </w:tcBorders>
            <w:shd w:fill="FDEF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</w:pPr>
            <w:r>
              <w:rPr>
                <w:b/>
                <w:bCs/>
                <w:color w:val="E9559E"/>
              </w:rPr>
              <w:t xml:space="preserve">DÉCISION   </w:t>
            </w:r>
            <w:r>
              <w:t xml:space="preserve">☐ a    ☐ b    ☐ c    ☐ d    —  Précision : ______________________</w:t>
            </w:r>
          </w:p>
        </w:tc>
      </w:tr>
    </w:tbl>
    <w:p>
      <w:pPr>
        <w:pStyle w:val="Heading2"/>
        <w:spacing w:after="140" w:before="280"/>
      </w:pPr>
      <w:r>
        <w:t xml:space="preserve">F11 · Exports &amp; données de suivi : périmètre RGPD par rôle (Z16 + tracking)</w:t>
      </w:r>
    </w:p>
    <w:p>
      <w:pPr>
        <w:spacing w:after="120"/>
      </w:pPr>
      <w:r>
        <w:rPr>
          <w:b/>
          <w:bCs/>
        </w:rPr>
        <w:t xml:space="preserve">Question : </w:t>
      </w:r>
      <w:r>
        <w:t xml:space="preserve">« pouvoir extraire au format Excel tous les tableaux » — qui peut exporter quoi ? Et qui voit les données de suivi individuelles (temps passé, connexions, téléchargements) ?</w:t>
      </w:r>
    </w:p>
    <w:p>
      <w:pPr>
        <w:spacing w:after="120"/>
      </w:pPr>
      <w:r>
        <w:rPr>
          <w:b/>
          <w:bCs/>
        </w:rPr>
        <w:t xml:space="preserve">Constat code : </w:t>
      </w:r>
      <w:r>
        <w:t xml:space="preserve">le tracking à venir (CH1) crée des données nominatives sensibles au sens RGPD (mesure d'activité des salariés). Le doc demande leur affichage dans le cockpit managérial.</w:t>
      </w:r>
    </w:p>
    <w:p>
      <w:pPr>
        <w:spacing w:after="120"/>
      </w:pPr>
      <w:r>
        <w:rPr>
          <w:b/>
          <w:bCs/>
        </w:rPr>
        <w:t xml:space="preserve">Proposition à valider :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60"/>
        <w:gridCol w:w="3420"/>
        <w:gridCol w:w="3420"/>
      </w:tblGrid>
      <w:tr>
        <w:trPr>
          <w:tblHeader/>
        </w:trPr>
        <w:tc>
          <w:tcPr>
            <w:tcW w:type="dxa" w:w="2160"/>
            <w:shd w:fill="01344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</w:rPr>
              <w:t xml:space="preserve">Rôle</w:t>
            </w:r>
          </w:p>
        </w:tc>
        <w:tc>
          <w:tcPr>
            <w:tcW w:type="dxa" w:w="3420"/>
            <w:shd w:fill="01344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</w:rPr>
              <w:t xml:space="preserve">Export</w:t>
            </w:r>
          </w:p>
        </w:tc>
        <w:tc>
          <w:tcPr>
            <w:tcW w:type="dxa" w:w="3420"/>
            <w:shd w:fill="01344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</w:rPr>
              <w:t xml:space="preserve">Données de suivi individuelles</w:t>
            </w:r>
          </w:p>
        </w:tc>
      </w:tr>
      <w:tr>
        <w:tc>
          <w:tcPr>
            <w:tcW w:type="dxa" w:w="21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Manager (sub_manager)</w:t>
            </w:r>
          </w:p>
        </w:tc>
        <w:tc>
          <w:tcPr>
            <w:tcW w:type="dxa" w:w="34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ses collaborateurs directs</w:t>
            </w:r>
          </w:p>
        </w:tc>
        <w:tc>
          <w:tcPr>
            <w:tcW w:type="dxa" w:w="34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oui, périmètre direct</w:t>
            </w:r>
          </w:p>
        </w:tc>
      </w:tr>
      <w:tr>
        <w:tc>
          <w:tcPr>
            <w:tcW w:type="dxa" w:w="21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MG / Directeur</w:t>
            </w:r>
          </w:p>
        </w:tc>
        <w:tc>
          <w:tcPr>
            <w:tcW w:type="dxa" w:w="34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sa hiérarchie</w:t>
            </w:r>
          </w:p>
        </w:tc>
        <w:tc>
          <w:tcPr>
            <w:tcW w:type="dxa" w:w="34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oui, sa hiérarchie</w:t>
            </w:r>
          </w:p>
        </w:tc>
      </w:tr>
      <w:tr>
        <w:tc>
          <w:tcPr>
            <w:tcW w:type="dxa" w:w="21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Manager RH</w:t>
            </w:r>
          </w:p>
        </w:tc>
        <w:tc>
          <w:tcPr>
            <w:tcW w:type="dxa" w:w="34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tous</w:t>
            </w:r>
          </w:p>
        </w:tc>
        <w:tc>
          <w:tcPr>
            <w:tcW w:type="dxa" w:w="34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oui, tous</w:t>
            </w:r>
          </w:p>
        </w:tc>
      </w:tr>
      <w:tr>
        <w:tc>
          <w:tcPr>
            <w:tcW w:type="dxa" w:w="21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Formateur</w:t>
            </w:r>
          </w:p>
        </w:tc>
        <w:tc>
          <w:tcPr>
            <w:tcW w:type="dxa" w:w="34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ses formations, résultats pédagogiques seulement</w:t>
            </w:r>
          </w:p>
        </w:tc>
        <w:tc>
          <w:tcPr>
            <w:tcW w:type="dxa" w:w="34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non (pas temps/connexions)</w:t>
            </w:r>
          </w:p>
        </w:tc>
      </w:tr>
      <w:tr>
        <w:tc>
          <w:tcPr>
            <w:tcW w:type="dxa" w:w="21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Admin</w:t>
            </w:r>
          </w:p>
        </w:tc>
        <w:tc>
          <w:tcPr>
            <w:tcW w:type="dxa" w:w="34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tout</w:t>
            </w:r>
          </w:p>
        </w:tc>
        <w:tc>
          <w:tcPr>
            <w:tcW w:type="dxa" w:w="34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oui</w:t>
            </w:r>
          </w:p>
        </w:tc>
      </w:tr>
    </w:tbl>
    <w:p>
      <w:pPr>
        <w:spacing w:after="120"/>
      </w:pPr>
    </w:p>
    <w:p>
      <w:pPr>
        <w:spacing w:after="120"/>
      </w:pPr>
      <w:r>
        <w:t xml:space="preserve">+ trois garde-fous : </w:t>
      </w:r>
      <w:r>
        <w:rPr>
          <w:b/>
          <w:bCs/>
        </w:rPr>
        <w:t xml:space="preserve">mention d'information</w:t>
      </w:r>
      <w:r>
        <w:t xml:space="preserve"> des utilisateurs (écran + politique), </w:t>
      </w:r>
      <w:r>
        <w:rPr>
          <w:b/>
          <w:bCs/>
        </w:rPr>
        <w:t xml:space="preserve">durée de rétention</w:t>
      </w:r>
      <w:r>
        <w:t xml:space="preserve"> des événements bruts (proposé : 24 mois puis agrégation), et pas d'export des données de suivi par des rôles non managériaux.</w:t>
      </w:r>
    </w:p>
    <w:p>
      <w:pPr>
        <w:spacing w:after="120"/>
      </w:pPr>
      <w:r>
        <w:rPr>
          <w:b/>
          <w:bCs/>
        </w:rPr>
        <w:t xml:space="preserve">Complément — spec Pilotage &amp; Analytics du 05/08 (05_SPEC_PILOTAGE_ANALYTICS.md) : </w:t>
      </w:r>
      <w:r>
        <w:t xml:space="preserve">la spec fige le schéma de tracking et les KPI (Démarré, Récurrence, Taux de complétion, profils d'usage) ; il ne reste que 5 paramètres à valider ici :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Fenêtre anti-bruit des vues de leçon : [30] secondes.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Seuils des profils d'usage : One-shot = 1 jour actif, Occasionnel = 2-3, Récurrent = ≥ 4.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Rétention des événements bruts : [24] mois.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Liste des comptes « test » à exclure des compteurs : à fournir.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Volumétrie cible de dimensionnement : [500 – 5 000] apprenants.</w:t>
      </w:r>
    </w:p>
    <w:p>
      <w:pPr>
        <w:spacing w:after="100"/>
      </w:pPr>
      <w:r>
        <w:rPr>
          <w:i/>
          <w:iCs/>
        </w:rPr>
        <w:t xml:space="preserve">Issues impactées : </w:t>
      </w:r>
      <w:r>
        <w:rPr>
          <w:i/>
          <w:iCs/>
        </w:rPr>
        <w:t xml:space="preserve">EA-017, EA-022, EA-051, EA-054, EA-070, EA-082.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single" w:color="E9559E" w:sz="6"/>
              <w:left w:val="single" w:color="E9559E" w:sz="6"/>
              <w:bottom w:val="single" w:color="E9559E" w:sz="6"/>
              <w:right w:val="single" w:color="E9559E" w:sz="6"/>
            </w:tcBorders>
            <w:shd w:fill="FDEF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</w:pPr>
            <w:r>
              <w:rPr>
                <w:b/>
                <w:bCs/>
                <w:color w:val="E9559E"/>
              </w:rPr>
              <w:t xml:space="preserve">DÉCISION   </w:t>
            </w:r>
            <w:r>
              <w:t xml:space="preserve">Matrice : ☐ validée  ☐ amendée  —  Rétention : ______ mois  —  Mention d'info : ☐ à rédiger (qui : ______)  —  Anti-bruit : ______ s  —  Seuils profils : ☐ validés  ☐ amendés : ______  —  Comptes test : ______  —  Volumétrie : ______</w:t>
            </w:r>
          </w:p>
        </w:tc>
      </w:tr>
    </w:tbl>
    <w:p>
      <w:pPr>
        <w:pStyle w:val="Heading1"/>
        <w:pageBreakBefore/>
        <w:spacing w:after="200" w:before="240"/>
      </w:pPr>
      <w:r>
        <w:t xml:space="preserve">Session C — Périmètres fonctionnels</w:t>
      </w:r>
    </w:p>
    <w:p>
      <w:pPr>
        <w:pStyle w:val="Heading2"/>
        <w:spacing w:after="140" w:before="280"/>
      </w:pPr>
      <w:r>
        <w:t xml:space="preserve">F12 · SCORM : ingestion du manifeste pipeline ou vrai player (Z4)</w:t>
      </w:r>
    </w:p>
    <w:p>
      <w:pPr>
        <w:spacing w:after="120"/>
      </w:pPr>
      <w:r>
        <w:rPr>
          <w:b/>
          <w:bCs/>
        </w:rPr>
        <w:t xml:space="preserve">Constat code : </w:t>
      </w:r>
      <w:r>
        <w:t xml:space="preserve">le LMS n'a RIEN (zéro occurrence SCORM/xAPI). Le pipeline sait produire du SCORM et dispose d'un contrat de manifeste JSON v1 déjà spécifié.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3240"/>
        <w:gridCol w:w="3060"/>
      </w:tblGrid>
      <w:tr>
        <w:trPr>
          <w:tblHeader/>
        </w:trPr>
        <w:tc>
          <w:tcPr>
            <w:tcW w:type="dxa" w:w="2700"/>
            <w:shd w:fill="01344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</w:rPr>
              <w:t xml:space="preserve">Option</w:t>
            </w:r>
          </w:p>
        </w:tc>
        <w:tc>
          <w:tcPr>
            <w:tcW w:type="dxa" w:w="3240"/>
            <w:shd w:fill="01344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</w:rPr>
              <w:t xml:space="preserve">Description</w:t>
            </w:r>
          </w:p>
        </w:tc>
        <w:tc>
          <w:tcPr>
            <w:tcW w:type="dxa" w:w="3060"/>
            <w:shd w:fill="01344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</w:rPr>
              <w:t xml:space="preserve">Conséquences</w:t>
            </w:r>
          </w:p>
        </w:tc>
      </w:tr>
      <w:tr>
        <w:tc>
          <w:tcPr>
            <w:tcW w:type="dxa" w:w="2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/>
            </w:pPr>
            <w:r>
              <w:rPr>
                <w:b/>
                <w:bCs/>
              </w:rPr>
              <w:t xml:space="preserve">A. Ingestion manifeste JSON pipeline  </w:t>
            </w:r>
            <w:r>
              <w:rPr>
                <w:color w:val="E9559E"/>
              </w:rPr>
              <w:t xml:space="preserve">(recommandée)</w:t>
            </w:r>
          </w:p>
        </w:tc>
        <w:tc>
          <w:tcPr>
            <w:tcW w:type="dxa" w:w="32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Import d'un paquet pipeline → création auto de la structure formation/leçons/supports/quiz en brouillon.</w:t>
            </w:r>
          </w:p>
        </w:tc>
        <w:tc>
          <w:tcPr>
            <w:tcW w:type="dxa" w:w="30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Léger (quelques jours), idempotent, couvre le besoin réel (« intégrateur automatique » de NOS contenus).</w:t>
            </w:r>
          </w:p>
        </w:tc>
      </w:tr>
      <w:tr>
        <w:tc>
          <w:tcPr>
            <w:tcW w:type="dxa" w:w="2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B. Player SCORM générique</w:t>
            </w:r>
          </w:p>
        </w:tc>
        <w:tc>
          <w:tcPr>
            <w:tcW w:type="dxa" w:w="32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Import et lecture de paquets SCORM tiers (runtime JS, suivi cmi).</w:t>
            </w:r>
          </w:p>
        </w:tc>
        <w:tc>
          <w:tcPr>
            <w:tcW w:type="dxa" w:w="30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Plusieurs semaines ; n'a de valeur que pour ingérer du contenu externe au pipeline. À chiffrer séparément (étude E2) si le besoin client existe.</w:t>
            </w:r>
          </w:p>
        </w:tc>
      </w:tr>
    </w:tbl>
    <w:p>
      <w:pPr>
        <w:spacing w:after="120"/>
      </w:pPr>
    </w:p>
    <w:p>
      <w:pPr>
        <w:spacing w:after="120"/>
      </w:pPr>
      <w:r>
        <w:rPr>
          <w:b/>
          <w:bCs/>
        </w:rPr>
        <w:t xml:space="preserve">Recommandation : </w:t>
      </w:r>
      <w:r>
        <w:rPr>
          <w:b/>
          <w:bCs/>
        </w:rPr>
        <w:t xml:space="preserve">A maintenant, B en étude optionnelle</w:t>
      </w:r>
      <w:r>
        <w:t xml:space="preserve">.</w:t>
      </w:r>
    </w:p>
    <w:p>
      <w:pPr>
        <w:spacing w:after="100"/>
      </w:pPr>
      <w:r>
        <w:rPr>
          <w:i/>
          <w:iCs/>
        </w:rPr>
        <w:t xml:space="preserve">Issues impactées : </w:t>
      </w:r>
      <w:r>
        <w:rPr>
          <w:i/>
          <w:iCs/>
        </w:rPr>
        <w:t xml:space="preserve">EA-081 (directe) ; P1.7.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single" w:color="E9559E" w:sz="6"/>
              <w:left w:val="single" w:color="E9559E" w:sz="6"/>
              <w:bottom w:val="single" w:color="E9559E" w:sz="6"/>
              <w:right w:val="single" w:color="E9559E" w:sz="6"/>
            </w:tcBorders>
            <w:shd w:fill="FDEF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</w:pPr>
            <w:r>
              <w:rPr>
                <w:b/>
                <w:bCs/>
                <w:color w:val="E9559E"/>
              </w:rPr>
              <w:t xml:space="preserve">DÉCISION   </w:t>
            </w:r>
            <w:r>
              <w:t xml:space="preserve">☐ A seul    ☐ A + étude B    —  Besoin de contenus tiers identifié : ☐ non  ☐ oui : ______</w:t>
            </w:r>
          </w:p>
        </w:tc>
      </w:tr>
    </w:tbl>
    <w:p>
      <w:pPr>
        <w:pStyle w:val="Heading2"/>
        <w:spacing w:after="140" w:before="280"/>
      </w:pPr>
      <w:r>
        <w:t xml:space="preserve">F13 · Tickets vs « Demande de support » (Z9, Z15)</w:t>
      </w:r>
    </w:p>
    <w:p>
      <w:pPr>
        <w:spacing w:after="120"/>
      </w:pPr>
      <w:r>
        <w:rPr>
          <w:b/>
          <w:bCs/>
        </w:rPr>
        <w:t xml:space="preserve">Question : </w:t>
      </w:r>
      <w:r>
        <w:t xml:space="preserve">le doc dit « ouvrir un ticket par un manager uniquement », mais le chat apprenant propose « Parler à un admin ou Demande de support ». Les demandes apprenants sont-elles des tickets ?</w:t>
      </w:r>
    </w:p>
    <w:p>
      <w:pPr>
        <w:spacing w:after="120"/>
      </w:pPr>
      <w:r>
        <w:rPr>
          <w:b/>
          <w:bCs/>
        </w:rPr>
        <w:t xml:space="preserve">Proposition à valider 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Tickets formels</w:t>
      </w:r>
      <w:r>
        <w:t xml:space="preserve"> (numéro, statuts, priorité) : réservés aux managers (demandes sur users/formations), conformément au doc.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Demande de support apprenant</w:t>
      </w:r>
      <w:r>
        <w:t xml:space="preserve"> = conversation de chat étiquetée « support », routée vers les admins, sans numéro de ticket. L'admin peut convertir une demande en ticket s'il veut la tracer (« créer un ticket depuis cette conversation »).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Priorité : deux niveaux (normal / urgent) — recommandé — ou pas de priorité.</w:t>
      </w:r>
    </w:p>
    <w:p>
      <w:pPr>
        <w:spacing w:after="100"/>
      </w:pPr>
      <w:r>
        <w:rPr>
          <w:i/>
          <w:iCs/>
        </w:rPr>
        <w:t xml:space="preserve">Issues impactées : </w:t>
      </w:r>
      <w:r>
        <w:rPr>
          <w:i/>
          <w:iCs/>
        </w:rPr>
        <w:t xml:space="preserve">EA-071, EA-073.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single" w:color="E9559E" w:sz="6"/>
              <w:left w:val="single" w:color="E9559E" w:sz="6"/>
              <w:bottom w:val="single" w:color="E9559E" w:sz="6"/>
              <w:right w:val="single" w:color="E9559E" w:sz="6"/>
            </w:tcBorders>
            <w:shd w:fill="FDEF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</w:pPr>
            <w:r>
              <w:rPr>
                <w:b/>
                <w:bCs/>
                <w:color w:val="E9559E"/>
              </w:rPr>
              <w:t xml:space="preserve">DÉCISION   </w:t>
            </w:r>
            <w:r>
              <w:t xml:space="preserve">Modèle validé : ☐  —  Conversion chat→ticket : ☐ oui ☐ non  —  Priorité : ______</w:t>
            </w:r>
          </w:p>
        </w:tc>
      </w:tr>
    </w:tbl>
    <w:p>
      <w:pPr>
        <w:pStyle w:val="Heading2"/>
        <w:spacing w:after="140" w:before="280"/>
      </w:pPr>
      <w:r>
        <w:t xml:space="preserve">F14 · Notifications : canaux et principes (Z11 — détail en P1.8)</w:t>
      </w:r>
    </w:p>
    <w:p>
      <w:pPr>
        <w:spacing w:after="120"/>
      </w:pPr>
      <w:r>
        <w:rPr>
          <w:b/>
          <w:bCs/>
        </w:rPr>
        <w:t xml:space="preserve">Questions de cadrage</w:t>
      </w:r>
      <w:r>
        <w:t xml:space="preserve"> (le détail événement par événement se fait en conception P1.8) 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Canaux au lancement : </w:t>
      </w:r>
      <w:r>
        <w:rPr>
          <w:b/>
          <w:bCs/>
        </w:rPr>
        <w:t xml:space="preserve">in-app (cloche) + email</w:t>
      </w:r>
      <w:r>
        <w:t xml:space="preserve"> — recommandé ; push web = phase ultérieure 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L'utilisateur peut-il régler ses préférences (couper les emails, garder l'in-app) ? — recommandé : oui.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Fréquence email : immédiat par événement, ou digest quotidien pour les événements de faible priorité (recommandé : immédiat pour chat/annonces/tickets, digest pour « cours ajouté »).</w:t>
      </w:r>
    </w:p>
    <w:p>
      <w:pPr>
        <w:spacing w:after="100"/>
      </w:pPr>
      <w:r>
        <w:rPr>
          <w:i/>
          <w:iCs/>
        </w:rPr>
        <w:t xml:space="preserve">Issues impactées : </w:t>
      </w:r>
      <w:r>
        <w:rPr>
          <w:i/>
          <w:iCs/>
        </w:rPr>
        <w:t xml:space="preserve">EA-024, EA-025, P1.8.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single" w:color="E9559E" w:sz="6"/>
              <w:left w:val="single" w:color="E9559E" w:sz="6"/>
              <w:bottom w:val="single" w:color="E9559E" w:sz="6"/>
              <w:right w:val="single" w:color="E9559E" w:sz="6"/>
            </w:tcBorders>
            <w:shd w:fill="FDEF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</w:pPr>
            <w:r>
              <w:rPr>
                <w:b/>
                <w:bCs/>
                <w:color w:val="E9559E"/>
              </w:rPr>
              <w:t xml:space="preserve">DÉCISION   </w:t>
            </w:r>
            <w:r>
              <w:t xml:space="preserve">Canaux : ______________  —  Préférences user : ☐ oui ☐ non  —  Digest : ☐ oui ☐ non</w:t>
            </w:r>
          </w:p>
        </w:tc>
      </w:tr>
    </w:tbl>
    <w:p>
      <w:pPr>
        <w:pStyle w:val="Heading2"/>
        <w:spacing w:after="140" w:before="280"/>
      </w:pPr>
      <w:r>
        <w:t xml:space="preserve">F15 · Visio : retrait (Z12, C7)</w:t>
      </w:r>
    </w:p>
    <w:p>
      <w:pPr>
        <w:spacing w:after="120"/>
      </w:pPr>
      <w:r>
        <w:rPr>
          <w:b/>
          <w:bCs/>
        </w:rPr>
        <w:t xml:space="preserve">Constat code : </w:t>
      </w:r>
      <w:r>
        <w:t xml:space="preserve">la visio ZegoCloud embarque un secret d'API en clair dans le front (mode test) ; le doc demande de la « dégager sur Admin ».</w:t>
      </w:r>
    </w:p>
    <w:p>
      <w:pPr>
        <w:spacing w:after="120"/>
      </w:pPr>
      <w:r>
        <w:rPr>
          <w:b/>
          <w:bCs/>
        </w:rPr>
        <w:t xml:space="preserve">Recommandation : </w:t>
      </w:r>
      <w:r>
        <w:rPr>
          <w:b/>
          <w:bCs/>
        </w:rPr>
        <w:t xml:space="preserve">retrait complet</w:t>
      </w:r>
      <w:r>
        <w:t xml:space="preserve"> (tous rôles) + révocation du secret côté ZegoCloud. L'historique des messages video_call reste lisible. Si un besoin visio réel émerge, ce sera une feature refaite proprement (hors périmètre).</w:t>
      </w:r>
    </w:p>
    <w:p>
      <w:pPr>
        <w:spacing w:after="100"/>
      </w:pPr>
      <w:r>
        <w:rPr>
          <w:i/>
          <w:iCs/>
        </w:rPr>
        <w:t xml:space="preserve">Issues impactées : </w:t>
      </w:r>
      <w:r>
        <w:rPr>
          <w:i/>
          <w:iCs/>
        </w:rPr>
        <w:t xml:space="preserve">EA-007.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single" w:color="E9559E" w:sz="6"/>
              <w:left w:val="single" w:color="E9559E" w:sz="6"/>
              <w:bottom w:val="single" w:color="E9559E" w:sz="6"/>
              <w:right w:val="single" w:color="E9559E" w:sz="6"/>
            </w:tcBorders>
            <w:shd w:fill="FDEF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</w:pPr>
            <w:r>
              <w:rPr>
                <w:b/>
                <w:bCs/>
                <w:color w:val="E9559E"/>
              </w:rPr>
              <w:t xml:space="preserve">DÉCISION   </w:t>
            </w:r>
            <w:r>
              <w:t xml:space="preserve">☐ Retrait complet    ☐ Garder côté apprenants (nécessite refonte sécurisée immédiate — à chiffrer)</w:t>
            </w:r>
          </w:p>
        </w:tc>
      </w:tr>
    </w:tbl>
    <w:p>
      <w:pPr>
        <w:pStyle w:val="Heading2"/>
        <w:spacing w:after="140" w:before="280"/>
      </w:pPr>
      <w:r>
        <w:t xml:space="preserve">F16 · Politique de passage des quiz : défauts et acquis (Z14, C1)</w:t>
      </w:r>
    </w:p>
    <w:p>
      <w:pPr>
        <w:spacing w:after="120"/>
      </w:pPr>
      <w:r>
        <w:rPr>
          <w:b/>
          <w:bCs/>
        </w:rPr>
        <w:t xml:space="preserve">Constat critique : </w:t>
      </w:r>
      <w:r>
        <w:t xml:space="preserve">passing_percentage (défaut 80) n'est JAMAIS évalué — aujourd'hui un quiz est validé quel que soit le score. Appliquer un seuil est donc un durcissement rétroactif potentiel.</w:t>
      </w:r>
    </w:p>
    <w:p>
      <w:pPr>
        <w:spacing w:after="120"/>
      </w:pPr>
      <w:r>
        <w:rPr>
          <w:b/>
          <w:bCs/>
        </w:rPr>
        <w:t xml:space="preserve">Proposition de valeurs par défaut (modifiables par quiz) :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rPr>
          <w:tblHeader/>
        </w:trPr>
        <w:tc>
          <w:tcPr>
            <w:tcW w:type="dxa" w:w="4500"/>
            <w:shd w:fill="01344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</w:rPr>
              <w:t xml:space="preserve">Paramètre</w:t>
            </w:r>
          </w:p>
        </w:tc>
        <w:tc>
          <w:tcPr>
            <w:tcW w:type="dxa" w:w="4500"/>
            <w:shd w:fill="01344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</w:rPr>
              <w:t xml:space="preserve">Défaut proposé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Seuil de réussite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70 % (aligné sur l'usage actuel annoncé)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Tentatives max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illimitées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Délai entre tentatives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0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Limite de temps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aucune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Feedback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en fin de quiz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Mélange questions/options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activé</w:t>
            </w:r>
          </w:p>
        </w:tc>
      </w:tr>
    </w:tbl>
    <w:p>
      <w:pPr>
        <w:spacing w:after="120"/>
      </w:pPr>
    </w:p>
    <w:p>
      <w:pPr>
        <w:spacing w:after="120"/>
      </w:pPr>
      <w:r>
        <w:rPr>
          <w:b/>
          <w:bCs/>
        </w:rPr>
        <w:t xml:space="preserve">Sort des acquis : </w:t>
      </w:r>
      <w:r>
        <w:t xml:space="preserve">les quiz déjà « validés » et les certificats émis restent acquis (aucune dé-certification rétroactive). Le seuil ne s'applique qu'aux tentatives postérieures à la mise en service.</w:t>
      </w:r>
    </w:p>
    <w:p>
      <w:pPr>
        <w:spacing w:after="100"/>
      </w:pPr>
      <w:r>
        <w:rPr>
          <w:i/>
          <w:iCs/>
        </w:rPr>
        <w:t xml:space="preserve">Issues impactées : </w:t>
      </w:r>
      <w:r>
        <w:rPr>
          <w:i/>
          <w:iCs/>
        </w:rPr>
        <w:t xml:space="preserve">EA-065, EA-066, EA-013.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single" w:color="E9559E" w:sz="6"/>
              <w:left w:val="single" w:color="E9559E" w:sz="6"/>
              <w:bottom w:val="single" w:color="E9559E" w:sz="6"/>
              <w:right w:val="single" w:color="E9559E" w:sz="6"/>
            </w:tcBorders>
            <w:shd w:fill="FDEF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</w:pPr>
            <w:r>
              <w:rPr>
                <w:b/>
                <w:bCs/>
                <w:color w:val="E9559E"/>
              </w:rPr>
              <w:t xml:space="preserve">DÉCISION   </w:t>
            </w:r>
            <w:r>
              <w:t xml:space="preserve">Défauts : ☐ validés  ☐ amendés : ______________  —  Acquis préservés : ☐ oui</w:t>
            </w:r>
          </w:p>
        </w:tc>
      </w:tr>
    </w:tbl>
    <w:p>
      <w:pPr>
        <w:pStyle w:val="Heading2"/>
        <w:spacing w:after="140" w:before="280"/>
      </w:pPr>
      <w:r>
        <w:t xml:space="preserve">F17 · Chatbot — cadrage de l'étude E1 (Z19)</w:t>
      </w:r>
    </w:p>
    <w:p>
      <w:pPr>
        <w:spacing w:after="120"/>
      </w:pPr>
      <w:r>
        <w:t xml:space="preserve">Hors sprints de dev. À décider seulement : lancer l'étude (POC chatnode ou équivalent — sur quelle base de connaissance : contenus de formation ? FAQ support ?) ou reporter.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single" w:color="E9559E" w:sz="6"/>
              <w:left w:val="single" w:color="E9559E" w:sz="6"/>
              <w:bottom w:val="single" w:color="E9559E" w:sz="6"/>
              <w:right w:val="single" w:color="E9559E" w:sz="6"/>
            </w:tcBorders>
            <w:shd w:fill="FDEF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</w:pPr>
            <w:r>
              <w:rPr>
                <w:b/>
                <w:bCs/>
                <w:color w:val="E9559E"/>
              </w:rPr>
              <w:t xml:space="preserve">DÉCISION   </w:t>
            </w:r>
            <w:r>
              <w:t xml:space="preserve">☐ Étude lancée (responsable : ______, échéance : ______)    ☐ Reportée</w:t>
            </w:r>
          </w:p>
        </w:tc>
      </w:tr>
    </w:tbl>
    <w:p>
      <w:pPr>
        <w:pStyle w:val="Heading2"/>
        <w:spacing w:after="140" w:before="280"/>
      </w:pPr>
      <w:r>
        <w:t xml:space="preserve">F18 · Gamification de la banque de questions — cadrage de l'étude E3 (Z20)</w:t>
      </w:r>
    </w:p>
    <w:p>
      <w:pPr>
        <w:spacing w:after="120"/>
      </w:pPr>
      <w:r>
        <w:t xml:space="preserve">« Hall of fame : qui sera le maître de la DO ? » — les tables point_master/badges existent. À décider seulement : inclure un classement par thème dans le périmètre S8 (léger), étude séparée, ou reporter.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single" w:color="E9559E" w:sz="6"/>
              <w:left w:val="single" w:color="E9559E" w:sz="6"/>
              <w:bottom w:val="single" w:color="E9559E" w:sz="6"/>
              <w:right w:val="single" w:color="E9559E" w:sz="6"/>
            </w:tcBorders>
            <w:shd w:fill="FDEF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</w:pPr>
            <w:r>
              <w:rPr>
                <w:b/>
                <w:bCs/>
                <w:color w:val="E9559E"/>
              </w:rPr>
              <w:t xml:space="preserve">DÉCISION   </w:t>
            </w:r>
            <w:r>
              <w:t xml:space="preserve">☐ Inclus en S8    ☐ Étude séparée    ☐ Reporté</w:t>
            </w:r>
          </w:p>
        </w:tc>
      </w:tr>
    </w:tbl>
    <w:p>
      <w:pPr>
        <w:pStyle w:val="Heading1"/>
        <w:pageBreakBefore/>
        <w:spacing w:after="200" w:before="240"/>
      </w:pPr>
      <w:r>
        <w:t xml:space="preserve">Session D — Audit technique (hors atelier, dev back)</w:t>
      </w:r>
    </w:p>
    <w:p>
      <w:pPr>
        <w:pStyle w:val="Heading2"/>
        <w:spacing w:after="140" w:before="280"/>
      </w:pPr>
      <w:r>
        <w:t xml:space="preserve">F19 · Environnements et stratégie de portage (Z21)</w:t>
      </w:r>
    </w:p>
    <w:p>
      <w:pPr>
        <w:spacing w:after="120"/>
      </w:pPr>
      <w:r>
        <w:rPr>
          <w:b/>
          <w:bCs/>
        </w:rPr>
        <w:t xml:space="preserve">Constat code : </w:t>
      </w:r>
      <w:r>
        <w:t xml:space="preserve">la référence est EFEKTIVACADEMIE-FRONT/BACK (acté 05/08), branche active/déployée : development. Les clones EACLAUDE ne sont PAS la référence (retard constaté : ≈ branche main). Le suivi des issues reste en markdown pour l'instant (décision du 05/08).</w:t>
      </w:r>
    </w:p>
    <w:p>
      <w:pPr>
        <w:spacing w:after="120"/>
      </w:pPr>
      <w:r>
        <w:rPr>
          <w:b/>
          <w:bCs/>
        </w:rPr>
        <w:t xml:space="preserve">À formaliser :</w:t>
      </w:r>
    </w:p>
    <w:p>
      <w:pPr>
        <w:pStyle w:val="ListParagraph"/>
        <w:numPr>
          <w:ilvl w:val="0"/>
          <w:numId w:val="6"/>
        </w:numPr>
        <w:spacing w:after="60"/>
      </w:pPr>
      <w:r>
        <w:t xml:space="preserve">Stratégie de branches sur EFEKTIVACADEMIE-* : branche par sprint ? par chantier ? PR vers development ?</w:t>
      </w:r>
    </w:p>
    <w:p>
      <w:pPr>
        <w:pStyle w:val="ListParagraph"/>
        <w:numPr>
          <w:ilvl w:val="0"/>
          <w:numId w:val="6"/>
        </w:numPr>
        <w:spacing w:after="60"/>
      </w:pPr>
      <w:r>
        <w:t xml:space="preserve">Stratégie de portage vers la prod : PR par sprint ? par chantier ? gel de la prod pendant la migration tracking ?</w:t>
      </w:r>
    </w:p>
    <w:p>
      <w:pPr>
        <w:pStyle w:val="ListParagraph"/>
        <w:numPr>
          <w:ilvl w:val="0"/>
          <w:numId w:val="6"/>
        </w:numPr>
        <w:spacing w:after="60"/>
      </w:pPr>
      <w:r>
        <w:t xml:space="preserve">Environnement de recette (staging) avec base iso-prod anonymisée : existe-t-il ? à créer ?</w:t>
      </w:r>
    </w:p>
    <w:p>
      <w:pPr>
        <w:pStyle w:val="ListParagraph"/>
        <w:numPr>
          <w:ilvl w:val="0"/>
          <w:numId w:val="6"/>
        </w:numPr>
        <w:spacing w:after="60"/>
      </w:pPr>
      <w:r>
        <w:t xml:space="preserve">Fenêtre de mise en service du tracking (CH1) : plus tôt = mieux (chaque semaine sans lui = données perdues).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single" w:color="E9559E" w:sz="6"/>
              <w:left w:val="single" w:color="E9559E" w:sz="6"/>
              <w:bottom w:val="single" w:color="E9559E" w:sz="6"/>
              <w:right w:val="single" w:color="E9559E" w:sz="6"/>
            </w:tcBorders>
            <w:shd w:fill="FDEF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</w:pPr>
            <w:r>
              <w:rPr>
                <w:b/>
                <w:bCs/>
                <w:color w:val="E9559E"/>
              </w:rPr>
              <w:t xml:space="preserve">DÉCISION   </w:t>
            </w:r>
            <w:r>
              <w:t xml:space="preserve">______________________</w:t>
            </w:r>
          </w:p>
        </w:tc>
      </w:tr>
    </w:tbl>
    <w:p>
      <w:pPr>
        <w:pStyle w:val="Heading2"/>
        <w:spacing w:after="140" w:before="280"/>
      </w:pPr>
      <w:r>
        <w:t xml:space="preserve">F20 · Audit du schéma prod — kit prêt à exécuter (Z22)</w:t>
      </w:r>
    </w:p>
    <w:p>
      <w:pPr>
        <w:spacing w:after="120"/>
      </w:pPr>
      <w:r>
        <w:rPr>
          <w:b/>
          <w:bCs/>
        </w:rPr>
        <w:t xml:space="preserve">Objectif : </w:t>
      </w:r>
      <w:r>
        <w:t xml:space="preserve">lister les écarts entre les migrations du repo et la base de production avant tout chiffrage ferme (des colonnes utilisées par le code n'existent dans aucune migration).</w:t>
      </w:r>
    </w:p>
    <w:p>
      <w:pPr>
        <w:spacing w:after="120"/>
      </w:pPr>
      <w:r>
        <w:rPr>
          <w:b/>
          <w:bCs/>
        </w:rPr>
        <w:t xml:space="preserve">Colonnes suspectes identifiées (code ↔ migrations) : </w:t>
      </w:r>
      <w:r>
        <w:t xml:space="preserve">users.is_active, enrollments.is_complete, lessons.order_no, quizzes.order_no, courses.category_id, sections.description.</w:t>
      </w:r>
    </w:p>
    <w:p>
      <w:pPr>
        <w:spacing w:after="120"/>
      </w:pPr>
      <w:r>
        <w:rPr>
          <w:b/>
          <w:bCs/>
        </w:rPr>
        <w:t xml:space="preserve">Kit SQL (lecture seule, via le pack déjà transmis ou un accès MySQL prod) :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20"/>
            </w:pPr>
            <w:r>
              <w:rPr>
                <w:rFonts w:ascii="Courier New" w:cs="Courier New" w:eastAsia="Courier New" w:hAnsi="Courier New"/>
                <w:sz w:val="17"/>
                <w:szCs w:val="17"/>
              </w:rPr>
              <w:t xml:space="preserve">-- 1. Schéma réel des tables sensibles</w:t>
            </w:r>
          </w:p>
          <w:p>
            <w:pPr>
              <w:spacing w:after="20"/>
            </w:pPr>
            <w:r>
              <w:rPr>
                <w:rFonts w:ascii="Courier New" w:cs="Courier New" w:eastAsia="Courier New" w:hAnsi="Courier New"/>
                <w:sz w:val="17"/>
                <w:szCs w:val="17"/>
              </w:rPr>
              <w:t xml:space="preserve">SHOW COLUMNS FROM users;    SHOW COLUMNS FROM enrollments;  SHOW COLUMNS FROM lessons;</w:t>
            </w:r>
          </w:p>
          <w:p>
            <w:pPr>
              <w:spacing w:after="20"/>
            </w:pPr>
            <w:r>
              <w:rPr>
                <w:rFonts w:ascii="Courier New" w:cs="Courier New" w:eastAsia="Courier New" w:hAnsi="Courier New"/>
                <w:sz w:val="17"/>
                <w:szCs w:val="17"/>
              </w:rPr>
              <w:t xml:space="preserve">SHOW COLUMNS FROM quizzes;  SHOW COLUMNS FROM courses;      SHOW COLUMNS FROM sections;</w:t>
            </w:r>
          </w:p>
          <w:p>
            <w:pPr>
              <w:spacing w:after="20"/>
            </w:pPr>
            <w:r>
              <w:rPr>
                <w:rFonts w:ascii="Courier New" w:cs="Courier New" w:eastAsia="Courier New" w:hAnsi="Courier New"/>
                <w:sz w:val="17"/>
                <w:szCs w:val="17"/>
              </w:rPr>
              <w:t xml:space="preserve">SHOW COLUMNS FROM completed_courses;  SHOW COLUMNS FROM quiz_scores;</w:t>
            </w:r>
          </w:p>
          <w:p>
            <w:pPr>
              <w:spacing w:after="20"/>
            </w:pPr>
            <w:r>
              <w:rPr>
                <w:rFonts w:ascii="Courier New" w:cs="Courier New" w:eastAsia="Courier New" w:hAnsi="Courier New"/>
                <w:sz w:val="17"/>
                <w:szCs w:val="17"/>
              </w:rPr>
              <w:t xml:space="preserve">SHOW COLUMNS FROM course_files;</w:t>
            </w:r>
          </w:p>
          <w:p>
            <w:pPr>
              <w:spacing w:after="20"/>
            </w:pPr>
            <w:r>
              <w:rPr>
                <w:rFonts w:ascii="Courier New" w:cs="Courier New" w:eastAsia="Courier New" w:hAnsi="Courier New"/>
                <w:sz w:val="17"/>
                <w:szCs w:val="17"/>
              </w:rPr>
              <w:t xml:space="preserve"> </w:t>
            </w:r>
          </w:p>
          <w:p>
            <w:pPr>
              <w:spacing w:after="20"/>
            </w:pPr>
            <w:r>
              <w:rPr>
                <w:rFonts w:ascii="Courier New" w:cs="Courier New" w:eastAsia="Courier New" w:hAnsi="Courier New"/>
                <w:sz w:val="17"/>
                <w:szCs w:val="17"/>
              </w:rPr>
              <w:t xml:space="preserve">-- 2. Migrations réellement appliquées en prod (à diff-er avec database/migrations/)</w:t>
            </w:r>
          </w:p>
          <w:p>
            <w:pPr>
              <w:spacing w:after="20"/>
            </w:pPr>
            <w:r>
              <w:rPr>
                <w:rFonts w:ascii="Courier New" w:cs="Courier New" w:eastAsia="Courier New" w:hAnsi="Courier New"/>
                <w:sz w:val="17"/>
                <w:szCs w:val="17"/>
              </w:rPr>
              <w:t xml:space="preserve">SELECT migration FROM migrations ORDER BY id;</w:t>
            </w:r>
          </w:p>
          <w:p>
            <w:pPr>
              <w:spacing w:after="20"/>
            </w:pPr>
            <w:r>
              <w:rPr>
                <w:rFonts w:ascii="Courier New" w:cs="Courier New" w:eastAsia="Courier New" w:hAnsi="Courier New"/>
                <w:sz w:val="17"/>
                <w:szCs w:val="17"/>
              </w:rPr>
              <w:t xml:space="preserve"> </w:t>
            </w:r>
          </w:p>
          <w:p>
            <w:pPr>
              <w:spacing w:after="20"/>
            </w:pPr>
            <w:r>
              <w:rPr>
                <w:rFonts w:ascii="Courier New" w:cs="Courier New" w:eastAsia="Courier New" w:hAnsi="Courier New"/>
                <w:sz w:val="17"/>
                <w:szCs w:val="17"/>
              </w:rPr>
              <w:t xml:space="preserve">-- 3. Volumétries (dimensionnement du tracking et des reprises de données)</w:t>
            </w:r>
          </w:p>
          <w:p>
            <w:pPr>
              <w:spacing w:after="20"/>
            </w:pPr>
            <w:r>
              <w:rPr>
                <w:rFonts w:ascii="Courier New" w:cs="Courier New" w:eastAsia="Courier New" w:hAnsi="Courier New"/>
                <w:sz w:val="17"/>
                <w:szCs w:val="17"/>
              </w:rPr>
              <w:t xml:space="preserve">SELECT (SELECT COUNT(*) FROM users)             AS users,</w:t>
            </w:r>
          </w:p>
          <w:p>
            <w:pPr>
              <w:spacing w:after="20"/>
            </w:pPr>
            <w:r>
              <w:rPr>
                <w:rFonts w:ascii="Courier New" w:cs="Courier New" w:eastAsia="Courier New" w:hAnsi="Courier New"/>
                <w:sz w:val="17"/>
                <w:szCs w:val="17"/>
              </w:rPr>
              <w:t xml:space="preserve">       (SELECT COUNT(*) FROM enrollments)       AS enrollments,</w:t>
            </w:r>
          </w:p>
          <w:p>
            <w:pPr>
              <w:spacing w:after="20"/>
            </w:pPr>
            <w:r>
              <w:rPr>
                <w:rFonts w:ascii="Courier New" w:cs="Courier New" w:eastAsia="Courier New" w:hAnsi="Courier New"/>
                <w:sz w:val="17"/>
                <w:szCs w:val="17"/>
              </w:rPr>
              <w:t xml:space="preserve">       (SELECT COUNT(*) FROM learner_lessons)   AS learner_lessons,</w:t>
            </w:r>
          </w:p>
          <w:p>
            <w:pPr>
              <w:spacing w:after="20"/>
            </w:pPr>
            <w:r>
              <w:rPr>
                <w:rFonts w:ascii="Courier New" w:cs="Courier New" w:eastAsia="Courier New" w:hAnsi="Courier New"/>
                <w:sz w:val="17"/>
                <w:szCs w:val="17"/>
              </w:rPr>
              <w:t xml:space="preserve">       (SELECT COUNT(*) FROM quiz_scores)       AS quiz_scores,</w:t>
            </w:r>
          </w:p>
          <w:p>
            <w:pPr>
              <w:spacing w:after="20"/>
            </w:pPr>
            <w:r>
              <w:rPr>
                <w:rFonts w:ascii="Courier New" w:cs="Courier New" w:eastAsia="Courier New" w:hAnsi="Courier New"/>
                <w:sz w:val="17"/>
                <w:szCs w:val="17"/>
              </w:rPr>
              <w:t xml:space="preserve">       (SELECT COUNT(*) FROM completed_courses) AS completed,</w:t>
            </w:r>
          </w:p>
          <w:p>
            <w:pPr>
              <w:spacing w:after="20"/>
            </w:pPr>
            <w:r>
              <w:rPr>
                <w:rFonts w:ascii="Courier New" w:cs="Courier New" w:eastAsia="Courier New" w:hAnsi="Courier New"/>
                <w:sz w:val="17"/>
                <w:szCs w:val="17"/>
              </w:rPr>
              <w:t xml:space="preserve">       (SELECT COUNT(*) FROM course_files)      AS course_files;</w:t>
            </w:r>
          </w:p>
          <w:p>
            <w:pPr>
              <w:spacing w:after="20"/>
            </w:pPr>
            <w:r>
              <w:rPr>
                <w:rFonts w:ascii="Courier New" w:cs="Courier New" w:eastAsia="Courier New" w:hAnsi="Courier New"/>
                <w:sz w:val="17"/>
                <w:szCs w:val="17"/>
              </w:rPr>
              <w:t xml:space="preserve"> </w:t>
            </w:r>
          </w:p>
          <w:p>
            <w:pPr>
              <w:spacing w:after="20"/>
            </w:pPr>
            <w:r>
              <w:rPr>
                <w:rFonts w:ascii="Courier New" w:cs="Courier New" w:eastAsia="Courier New" w:hAnsi="Courier New"/>
                <w:sz w:val="17"/>
                <w:szCs w:val="17"/>
              </w:rPr>
              <w:t xml:space="preserve">-- 4. Qualité de données avant contraintes (EA-015 : unicité completed_courses)</w:t>
            </w:r>
          </w:p>
          <w:p>
            <w:pPr>
              <w:spacing w:after="20"/>
            </w:pPr>
            <w:r>
              <w:rPr>
                <w:rFonts w:ascii="Courier New" w:cs="Courier New" w:eastAsia="Courier New" w:hAnsi="Courier New"/>
                <w:sz w:val="17"/>
                <w:szCs w:val="17"/>
              </w:rPr>
              <w:t xml:space="preserve">SELECT learner_id, course_id, COUNT(*) c FROM completed_courses</w:t>
            </w:r>
          </w:p>
          <w:p>
            <w:pPr>
              <w:spacing w:after="20"/>
            </w:pPr>
            <w:r>
              <w:rPr>
                <w:rFonts w:ascii="Courier New" w:cs="Courier New" w:eastAsia="Courier New" w:hAnsi="Courier New"/>
                <w:sz w:val="17"/>
                <w:szCs w:val="17"/>
              </w:rPr>
              <w:t xml:space="preserve">GROUP BY learner_id, course_id HAVING c &gt; 1;</w:t>
            </w:r>
          </w:p>
          <w:p>
            <w:pPr>
              <w:spacing w:after="20"/>
            </w:pPr>
            <w:r>
              <w:rPr>
                <w:rFonts w:ascii="Courier New" w:cs="Courier New" w:eastAsia="Courier New" w:hAnsi="Courier New"/>
                <w:sz w:val="17"/>
                <w:szCs w:val="17"/>
              </w:rPr>
              <w:t xml:space="preserve"> </w:t>
            </w:r>
          </w:p>
          <w:p>
            <w:pPr>
              <w:spacing w:after="20"/>
            </w:pPr>
            <w:r>
              <w:rPr>
                <w:rFonts w:ascii="Courier New" w:cs="Courier New" w:eastAsia="Courier New" w:hAnsi="Courier New"/>
                <w:sz w:val="17"/>
                <w:szCs w:val="17"/>
              </w:rPr>
              <w:t xml:space="preserve">-- 5. Rôles réellement présents (director / manager_general non seedés)</w:t>
            </w:r>
          </w:p>
          <w:p>
            <w:pPr>
              <w:spacing w:after="20"/>
            </w:pPr>
            <w:r>
              <w:rPr>
                <w:rFonts w:ascii="Courier New" w:cs="Courier New" w:eastAsia="Courier New" w:hAnsi="Courier New"/>
                <w:sz w:val="17"/>
                <w:szCs w:val="17"/>
              </w:rPr>
              <w:t xml:space="preserve">SELECT r.name, COUNT(mhr.model_id) AS users FROM roles r</w:t>
            </w:r>
          </w:p>
          <w:p>
            <w:pPr>
              <w:spacing w:after="20"/>
            </w:pPr>
            <w:r>
              <w:rPr>
                <w:rFonts w:ascii="Courier New" w:cs="Courier New" w:eastAsia="Courier New" w:hAnsi="Courier New"/>
                <w:sz w:val="17"/>
                <w:szCs w:val="17"/>
              </w:rPr>
              <w:t xml:space="preserve">LEFT JOIN model_has_roles mhr ON mhr.role_id = r.id GROUP BY r.name;</w:t>
            </w:r>
          </w:p>
        </w:tc>
      </w:tr>
    </w:tbl>
    <w:p>
      <w:pPr>
        <w:spacing w:after="120"/>
      </w:pPr>
    </w:p>
    <w:p>
      <w:pPr>
        <w:spacing w:after="120"/>
      </w:pPr>
      <w:r>
        <w:rPr>
          <w:b/>
          <w:bCs/>
        </w:rPr>
        <w:t xml:space="preserve">Livrable attendu : </w:t>
      </w:r>
      <w:r>
        <w:t xml:space="preserve">tableau des écarts + migrations de rattrapage (EA-001) + liste des données à nettoyer avant contraintes (doublons completed_courses, comptes sans rôle…).</w:t>
      </w:r>
    </w:p>
    <w:p>
      <w:pPr>
        <w:pStyle w:val="Heading1"/>
        <w:pageBreakBefore/>
        <w:spacing w:after="200" w:before="240"/>
      </w:pPr>
      <w:r>
        <w:t xml:space="preserve">Récapitulatif des décisions par défaut</w:t>
      </w:r>
    </w:p>
    <w:p>
      <w:pPr>
        <w:spacing w:after="120"/>
      </w:pPr>
      <w:r>
        <w:t xml:space="preserve">Appliquées automatiquement si le point n'est pas tranché en atelier — pour ne jamais bloquer le démarrage des sprints.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"/>
        <w:gridCol w:w="7920"/>
      </w:tblGrid>
      <w:tr>
        <w:trPr>
          <w:tblHeader/>
        </w:trPr>
        <w:tc>
          <w:tcPr>
            <w:tcW w:type="dxa" w:w="1080"/>
            <w:shd w:fill="01344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</w:rPr>
              <w:t xml:space="preserve">Fiche</w:t>
            </w:r>
          </w:p>
        </w:tc>
        <w:tc>
          <w:tcPr>
            <w:tcW w:type="dxa" w:w="7920"/>
            <w:shd w:fill="01344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</w:rPr>
              <w:t xml:space="preserve">Défaut appliqué</w:t>
            </w:r>
          </w:p>
        </w:tc>
      </w:tr>
      <w:tr>
        <w:tc>
          <w:tcPr>
            <w:tcW w:type="dxa" w:w="10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F1</w:t>
            </w:r>
          </w:p>
        </w:tc>
        <w:tc>
          <w:tcPr>
            <w:tcW w:type="dxa" w:w="79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Renommage + typage (option A)</w:t>
            </w:r>
          </w:p>
        </w:tc>
      </w:tr>
      <w:tr>
        <w:tc>
          <w:tcPr>
            <w:tcW w:type="dxa" w:w="10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F2</w:t>
            </w:r>
          </w:p>
        </w:tc>
        <w:tc>
          <w:tcPr>
            <w:tcW w:type="dxa" w:w="79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Extraction auto + override admin</w:t>
            </w:r>
          </w:p>
        </w:tc>
      </w:tr>
      <w:tr>
        <w:tc>
          <w:tcPr>
            <w:tcW w:type="dxa" w:w="10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F3</w:t>
            </w:r>
          </w:p>
        </w:tc>
        <w:tc>
          <w:tcPr>
            <w:tcW w:type="dxa" w:w="79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% = supports terminés / total</w:t>
            </w:r>
          </w:p>
        </w:tc>
      </w:tr>
      <w:tr>
        <w:tc>
          <w:tcPr>
            <w:tcW w:type="dxa" w:w="10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F4</w:t>
            </w:r>
          </w:p>
        </w:tc>
        <w:tc>
          <w:tcPr>
            <w:tcW w:type="dxa" w:w="79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/cours/{id}-{slug}?support=&amp;t=  + redirections 301</w:t>
            </w:r>
          </w:p>
        </w:tc>
      </w:tr>
      <w:tr>
        <w:tc>
          <w:tcPr>
            <w:tcW w:type="dxa" w:w="10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F5</w:t>
            </w:r>
          </w:p>
        </w:tc>
        <w:tc>
          <w:tcPr>
            <w:tcW w:type="dxa" w:w="79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Certificat au niveau formation ; badge de leçon = jalon visuel</w:t>
            </w:r>
          </w:p>
        </w:tc>
      </w:tr>
      <w:tr>
        <w:tc>
          <w:tcPr>
            <w:tcW w:type="dxa" w:w="10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F6</w:t>
            </w:r>
          </w:p>
        </w:tc>
        <w:tc>
          <w:tcPr>
            <w:tcW w:type="dxa" w:w="79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Tuto = course_type dédié, sans certificat</w:t>
            </w:r>
          </w:p>
        </w:tc>
      </w:tr>
      <w:tr>
        <w:tc>
          <w:tcPr>
            <w:tcW w:type="dxa" w:w="10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F7</w:t>
            </w:r>
          </w:p>
        </w:tc>
        <w:tc>
          <w:tcPr>
            <w:tcW w:type="dxa" w:w="79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Matrice proposée ; « Mes équipes » piloté par la profondeur hiérarchique</w:t>
            </w:r>
          </w:p>
        </w:tc>
      </w:tr>
      <w:tr>
        <w:tc>
          <w:tcPr>
            <w:tcW w:type="dxa" w:w="10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F8</w:t>
            </w:r>
          </w:p>
        </w:tc>
        <w:tc>
          <w:tcPr>
            <w:tcW w:type="dxa" w:w="79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Référentiel sociétés simple (companies + users.company_id)</w:t>
            </w:r>
          </w:p>
        </w:tc>
      </w:tr>
      <w:tr>
        <w:tc>
          <w:tcPr>
            <w:tcW w:type="dxa" w:w="10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F9</w:t>
            </w:r>
          </w:p>
        </w:tc>
        <w:tc>
          <w:tcPr>
            <w:tcW w:type="dxa" w:w="79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Création admin-only ; invitation = users existants ; 1 mail/user ; onboarding sécurisé</w:t>
            </w:r>
          </w:p>
        </w:tc>
      </w:tr>
      <w:tr>
        <w:tc>
          <w:tcPr>
            <w:tcW w:type="dxa" w:w="10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F10</w:t>
            </w:r>
          </w:p>
        </w:tc>
        <w:tc>
          <w:tcPr>
            <w:tcW w:type="dxa" w:w="79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« Rôle » = consultation seule</w:t>
            </w:r>
          </w:p>
        </w:tc>
      </w:tr>
      <w:tr>
        <w:tc>
          <w:tcPr>
            <w:tcW w:type="dxa" w:w="10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F11</w:t>
            </w:r>
          </w:p>
        </w:tc>
        <w:tc>
          <w:tcPr>
            <w:tcW w:type="dxa" w:w="79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Matrice d'accès proposée ; rétention 24 mois</w:t>
            </w:r>
          </w:p>
        </w:tc>
      </w:tr>
      <w:tr>
        <w:tc>
          <w:tcPr>
            <w:tcW w:type="dxa" w:w="10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F12</w:t>
            </w:r>
          </w:p>
        </w:tc>
        <w:tc>
          <w:tcPr>
            <w:tcW w:type="dxa" w:w="79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Ingestion manifeste pipeline (player SCORM = étude séparée)</w:t>
            </w:r>
          </w:p>
        </w:tc>
      </w:tr>
      <w:tr>
        <w:tc>
          <w:tcPr>
            <w:tcW w:type="dxa" w:w="10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F13</w:t>
            </w:r>
          </w:p>
        </w:tc>
        <w:tc>
          <w:tcPr>
            <w:tcW w:type="dxa" w:w="79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Tickets managers + demandes support en chat convertibles</w:t>
            </w:r>
          </w:p>
        </w:tc>
      </w:tr>
      <w:tr>
        <w:tc>
          <w:tcPr>
            <w:tcW w:type="dxa" w:w="10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F14</w:t>
            </w:r>
          </w:p>
        </w:tc>
        <w:tc>
          <w:tcPr>
            <w:tcW w:type="dxa" w:w="79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In-app + email, préférences utilisateur, digest partiel</w:t>
            </w:r>
          </w:p>
        </w:tc>
      </w:tr>
      <w:tr>
        <w:tc>
          <w:tcPr>
            <w:tcW w:type="dxa" w:w="10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F15</w:t>
            </w:r>
          </w:p>
        </w:tc>
        <w:tc>
          <w:tcPr>
            <w:tcW w:type="dxa" w:w="79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Retrait complet de la visio</w:t>
            </w:r>
          </w:p>
        </w:tc>
      </w:tr>
      <w:tr>
        <w:tc>
          <w:tcPr>
            <w:tcW w:type="dxa" w:w="10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F16</w:t>
            </w:r>
          </w:p>
        </w:tc>
        <w:tc>
          <w:tcPr>
            <w:tcW w:type="dxa" w:w="79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Défauts du tableau F16 ; acquis préservés</w:t>
            </w:r>
          </w:p>
        </w:tc>
      </w:tr>
      <w:tr>
        <w:tc>
          <w:tcPr>
            <w:tcW w:type="dxa" w:w="10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F17 / F18</w:t>
            </w:r>
          </w:p>
        </w:tc>
        <w:tc>
          <w:tcPr>
            <w:tcW w:type="dxa" w:w="79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t xml:space="preserve">Reportés (études)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00" w:hanging="2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00" w:hanging="26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00" w:hanging="26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0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6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after="200" w:before="240"/>
    </w:pPr>
    <w:rPr>
      <w:rFonts w:ascii="Calibri" w:cs="Calibri" w:eastAsia="Calibri" w:hAnsi="Calibri"/>
      <w:b/>
      <w:bCs/>
      <w:color w:val="013441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40" w:before="280"/>
    </w:pPr>
    <w:rPr>
      <w:rFonts w:ascii="Calibri" w:cs="Calibri" w:eastAsia="Calibri" w:hAnsi="Calibri"/>
      <w:b/>
      <w:bCs/>
      <w:color w:val="013441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100" w:before="180"/>
    </w:pPr>
    <w:rPr>
      <w:rFonts w:ascii="Calibri" w:cs="Calibri" w:eastAsia="Calibri" w:hAnsi="Calibri"/>
      <w:b/>
      <w:bCs/>
      <w:color w:val="E9559E"/>
      <w:sz w:val="22"/>
      <w:szCs w:val="22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Atelier de cadrage Phase 0 — Évolution LMS EFEKTIVACADEMIE</dc:title>
  <dc:creator>EFEKTIV / Enguerran Brembilla</dc:creator>
  <cp:lastModifiedBy>Un-named</cp:lastModifiedBy>
  <cp:revision>1</cp:revision>
  <dcterms:created xsi:type="dcterms:W3CDTF">2026-08-05T17:53:06.387Z</dcterms:created>
  <dcterms:modified xsi:type="dcterms:W3CDTF">2026-08-05T17:53:06.393Z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